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195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6"/>
      </w:tblGrid>
      <w:tr w:rsidR="00981969" w14:paraId="1901891F" w14:textId="77777777" w:rsidTr="006321BF">
        <w:trPr>
          <w:trHeight w:val="4681"/>
        </w:trPr>
        <w:tc>
          <w:tcPr>
            <w:tcW w:w="5954" w:type="dxa"/>
          </w:tcPr>
          <w:p w14:paraId="1984DC3B" w14:textId="580C1191" w:rsidR="00F57E71" w:rsidRPr="00D95EE9" w:rsidRDefault="00ED005F" w:rsidP="00981969">
            <w:pPr>
              <w:jc w:val="center"/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noProof/>
                <w:sz w:val="44"/>
                <w:szCs w:val="44"/>
                <w:lang w:eastAsia="es-ES_tradnl"/>
              </w:rPr>
              <w:drawing>
                <wp:inline distT="0" distB="0" distL="0" distR="0" wp14:anchorId="620AD2E5" wp14:editId="4722806D">
                  <wp:extent cx="3682974" cy="288000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BenavidesG02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974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E3980" w14:textId="77777777" w:rsidR="00DE1F28" w:rsidRDefault="00DE1F28">
      <w:pPr>
        <w:rPr>
          <w:rFonts w:ascii="Candara" w:hAnsi="Candara"/>
          <w:sz w:val="16"/>
          <w:szCs w:val="16"/>
        </w:rPr>
      </w:pPr>
    </w:p>
    <w:p w14:paraId="7766675B" w14:textId="77777777" w:rsidR="00981969" w:rsidRPr="00DE1F28" w:rsidRDefault="00981969">
      <w:pPr>
        <w:rPr>
          <w:rFonts w:ascii="Candara" w:hAnsi="Candara"/>
          <w:sz w:val="16"/>
          <w:szCs w:val="16"/>
        </w:rPr>
      </w:pPr>
    </w:p>
    <w:tbl>
      <w:tblPr>
        <w:tblStyle w:val="Tablaconcuadrcula"/>
        <w:tblW w:w="0" w:type="auto"/>
        <w:tblBorders>
          <w:top w:val="dotted" w:sz="2" w:space="0" w:color="404040" w:themeColor="text1" w:themeTint="BF"/>
          <w:left w:val="dotted" w:sz="2" w:space="0" w:color="404040" w:themeColor="text1" w:themeTint="BF"/>
          <w:bottom w:val="dotted" w:sz="2" w:space="0" w:color="404040" w:themeColor="text1" w:themeTint="BF"/>
          <w:right w:val="dotted" w:sz="2" w:space="0" w:color="404040" w:themeColor="text1" w:themeTint="BF"/>
          <w:insideH w:val="dotted" w:sz="2" w:space="0" w:color="404040" w:themeColor="text1" w:themeTint="BF"/>
          <w:insideV w:val="dotted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09"/>
        <w:gridCol w:w="7964"/>
      </w:tblGrid>
      <w:tr w:rsidR="000E14CD" w14:paraId="58CD977D" w14:textId="77777777" w:rsidTr="00B355D0">
        <w:trPr>
          <w:trHeight w:val="582"/>
        </w:trPr>
        <w:tc>
          <w:tcPr>
            <w:tcW w:w="1809" w:type="dxa"/>
            <w:vAlign w:val="center"/>
          </w:tcPr>
          <w:p w14:paraId="71FF1C7B" w14:textId="51DE370B" w:rsidR="000E14CD" w:rsidRPr="008F70EB" w:rsidRDefault="000E14CD">
            <w:pPr>
              <w:rPr>
                <w:rFonts w:ascii="Candara" w:hAnsi="Candara"/>
                <w:sz w:val="20"/>
                <w:szCs w:val="20"/>
              </w:rPr>
            </w:pPr>
            <w:r w:rsidRPr="008F70EB">
              <w:rPr>
                <w:rFonts w:ascii="Candara" w:hAnsi="Candara"/>
                <w:sz w:val="20"/>
                <w:szCs w:val="20"/>
              </w:rPr>
              <w:t>Título</w:t>
            </w:r>
          </w:p>
        </w:tc>
        <w:tc>
          <w:tcPr>
            <w:tcW w:w="7964" w:type="dxa"/>
            <w:vAlign w:val="center"/>
          </w:tcPr>
          <w:p w14:paraId="62F47F89" w14:textId="4415128C" w:rsidR="000E14CD" w:rsidRPr="004E469A" w:rsidRDefault="00E27E35">
            <w:pPr>
              <w:rPr>
                <w:rFonts w:ascii="Candara" w:hAnsi="Candara"/>
                <w:sz w:val="20"/>
                <w:szCs w:val="20"/>
              </w:rPr>
            </w:pPr>
            <w:r w:rsidRPr="00E27E35">
              <w:rPr>
                <w:rFonts w:ascii="Candara" w:hAnsi="Candara"/>
                <w:sz w:val="20"/>
                <w:szCs w:val="20"/>
              </w:rPr>
              <w:t>Ceremonia de nombramiento a Alberto Benavides de la Quintana como Profesor Honorario de la PUCP</w:t>
            </w:r>
          </w:p>
        </w:tc>
      </w:tr>
      <w:tr w:rsidR="000E14CD" w14:paraId="7D7DA5BE" w14:textId="77777777" w:rsidTr="00AC7CDB">
        <w:trPr>
          <w:trHeight w:val="1274"/>
        </w:trPr>
        <w:tc>
          <w:tcPr>
            <w:tcW w:w="1809" w:type="dxa"/>
            <w:vAlign w:val="center"/>
          </w:tcPr>
          <w:p w14:paraId="623985C0" w14:textId="397AEE18" w:rsidR="000E14CD" w:rsidRPr="008F70EB" w:rsidRDefault="000E14CD">
            <w:pPr>
              <w:rPr>
                <w:rFonts w:ascii="Candara" w:hAnsi="Candara"/>
                <w:sz w:val="20"/>
                <w:szCs w:val="20"/>
              </w:rPr>
            </w:pPr>
            <w:r w:rsidRPr="008F70EB">
              <w:rPr>
                <w:rFonts w:ascii="Candara" w:hAnsi="Candara"/>
                <w:sz w:val="20"/>
                <w:szCs w:val="20"/>
              </w:rPr>
              <w:t>Descripción</w:t>
            </w:r>
          </w:p>
        </w:tc>
        <w:tc>
          <w:tcPr>
            <w:tcW w:w="7964" w:type="dxa"/>
            <w:vAlign w:val="center"/>
          </w:tcPr>
          <w:p w14:paraId="53CD13CE" w14:textId="7BA5956B" w:rsidR="000E14CD" w:rsidRPr="00F3719D" w:rsidRDefault="00E27E35" w:rsidP="00E27E35">
            <w:pPr>
              <w:rPr>
                <w:rFonts w:ascii="Candara" w:hAnsi="Candara"/>
                <w:sz w:val="20"/>
                <w:szCs w:val="20"/>
              </w:rPr>
            </w:pPr>
            <w:r w:rsidRPr="00E27E35">
              <w:rPr>
                <w:rFonts w:ascii="Candara" w:hAnsi="Candara"/>
                <w:sz w:val="20"/>
                <w:szCs w:val="20"/>
              </w:rPr>
              <w:t xml:space="preserve">De izquierda a derecha: 1º Alberto Benavides de la Quintana,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Pr="00E27E35">
              <w:rPr>
                <w:rFonts w:ascii="Candara" w:hAnsi="Candara"/>
                <w:sz w:val="20"/>
                <w:szCs w:val="20"/>
              </w:rPr>
              <w:t>º Salomón Lerner, rector de la universidad Católica. La PUCP nombró al Ing. Alberto Benavides de la Quintana como Profesor Honorario de la PUCP en reconocimiento a su labor como iniciador de la Sección Ingeniería de Minas. El Ing. Benavides de la Quintana, empresario, minero y geólogo, ejerció la coordinación de la especialidad y el dictado de los primeros cursos de Geología en Minas.</w:t>
            </w:r>
          </w:p>
        </w:tc>
      </w:tr>
      <w:tr w:rsidR="000E14CD" w14:paraId="311FC246" w14:textId="77777777" w:rsidTr="00B355D0">
        <w:trPr>
          <w:trHeight w:val="397"/>
        </w:trPr>
        <w:tc>
          <w:tcPr>
            <w:tcW w:w="1809" w:type="dxa"/>
            <w:vAlign w:val="center"/>
          </w:tcPr>
          <w:p w14:paraId="584C570B" w14:textId="2B0462C0" w:rsidR="000E14CD" w:rsidRPr="008F70EB" w:rsidRDefault="000E14CD">
            <w:pPr>
              <w:rPr>
                <w:rFonts w:ascii="Candara" w:hAnsi="Candara"/>
                <w:sz w:val="20"/>
                <w:szCs w:val="20"/>
              </w:rPr>
            </w:pPr>
            <w:r w:rsidRPr="008F70EB">
              <w:rPr>
                <w:rFonts w:ascii="Candara" w:hAnsi="Candara"/>
                <w:sz w:val="20"/>
                <w:szCs w:val="20"/>
              </w:rPr>
              <w:t>Fecha</w:t>
            </w:r>
          </w:p>
        </w:tc>
        <w:tc>
          <w:tcPr>
            <w:tcW w:w="7964" w:type="dxa"/>
            <w:vAlign w:val="center"/>
          </w:tcPr>
          <w:p w14:paraId="03B425EE" w14:textId="1A6235EA" w:rsidR="000E14CD" w:rsidRPr="004723BB" w:rsidRDefault="00E27E35" w:rsidP="000A5B7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1997</w:t>
            </w:r>
          </w:p>
        </w:tc>
      </w:tr>
      <w:tr w:rsidR="004723BB" w14:paraId="7214B699" w14:textId="77777777" w:rsidTr="00B355D0">
        <w:trPr>
          <w:trHeight w:val="397"/>
        </w:trPr>
        <w:tc>
          <w:tcPr>
            <w:tcW w:w="1809" w:type="dxa"/>
            <w:vAlign w:val="center"/>
          </w:tcPr>
          <w:p w14:paraId="0AD9BDEE" w14:textId="229CB3F7" w:rsidR="004723BB" w:rsidRPr="008F70EB" w:rsidRDefault="004723B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Lugar</w:t>
            </w:r>
          </w:p>
        </w:tc>
        <w:tc>
          <w:tcPr>
            <w:tcW w:w="7964" w:type="dxa"/>
            <w:vAlign w:val="center"/>
          </w:tcPr>
          <w:p w14:paraId="5E580716" w14:textId="44BB1837" w:rsidR="004723BB" w:rsidRPr="004723BB" w:rsidRDefault="00E27E3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Pando</w:t>
            </w:r>
          </w:p>
        </w:tc>
      </w:tr>
      <w:tr w:rsidR="004723BB" w14:paraId="3C3A4603" w14:textId="77777777" w:rsidTr="00B355D0">
        <w:trPr>
          <w:trHeight w:val="397"/>
        </w:trPr>
        <w:tc>
          <w:tcPr>
            <w:tcW w:w="1809" w:type="dxa"/>
            <w:vAlign w:val="center"/>
          </w:tcPr>
          <w:p w14:paraId="7441173E" w14:textId="5C438B1E" w:rsidR="004723BB" w:rsidRPr="008F70EB" w:rsidRDefault="004723B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Ciudad</w:t>
            </w:r>
            <w:r w:rsidR="00B355D0">
              <w:rPr>
                <w:rFonts w:ascii="Candara" w:hAnsi="Candara"/>
                <w:sz w:val="20"/>
                <w:szCs w:val="20"/>
              </w:rPr>
              <w:t>, País</w:t>
            </w:r>
          </w:p>
        </w:tc>
        <w:tc>
          <w:tcPr>
            <w:tcW w:w="7964" w:type="dxa"/>
            <w:vAlign w:val="center"/>
          </w:tcPr>
          <w:p w14:paraId="0025910D" w14:textId="35D6587B" w:rsidR="004723BB" w:rsidRPr="004723BB" w:rsidRDefault="00E27E35" w:rsidP="00D42FFB">
            <w:pPr>
              <w:rPr>
                <w:rFonts w:ascii="Candara" w:hAnsi="Candara"/>
                <w:sz w:val="20"/>
                <w:szCs w:val="20"/>
              </w:rPr>
            </w:pPr>
            <w:r w:rsidRPr="00E27E35">
              <w:rPr>
                <w:rFonts w:ascii="Candara" w:hAnsi="Candara"/>
                <w:sz w:val="20"/>
                <w:szCs w:val="20"/>
              </w:rPr>
              <w:t>Lima, Perú</w:t>
            </w:r>
          </w:p>
        </w:tc>
      </w:tr>
      <w:tr w:rsidR="000E14CD" w14:paraId="47E6D405" w14:textId="77777777" w:rsidTr="00B355D0">
        <w:trPr>
          <w:trHeight w:val="416"/>
        </w:trPr>
        <w:tc>
          <w:tcPr>
            <w:tcW w:w="1809" w:type="dxa"/>
            <w:vAlign w:val="center"/>
          </w:tcPr>
          <w:p w14:paraId="2A6CD4B8" w14:textId="4AE6D3B4" w:rsidR="000E14CD" w:rsidRPr="008F70EB" w:rsidRDefault="000E14CD" w:rsidP="0021630A">
            <w:pPr>
              <w:rPr>
                <w:rFonts w:ascii="Candara" w:hAnsi="Candara"/>
                <w:sz w:val="20"/>
                <w:szCs w:val="20"/>
              </w:rPr>
            </w:pPr>
            <w:r w:rsidRPr="008F70EB">
              <w:rPr>
                <w:rFonts w:ascii="Candara" w:hAnsi="Candara"/>
                <w:sz w:val="20"/>
                <w:szCs w:val="20"/>
              </w:rPr>
              <w:t>Procedencia</w:t>
            </w:r>
            <w:r w:rsidR="00844A53" w:rsidRPr="008F70E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7964" w:type="dxa"/>
            <w:vAlign w:val="center"/>
          </w:tcPr>
          <w:p w14:paraId="2C294FCA" w14:textId="72655E03" w:rsidR="000E14CD" w:rsidRPr="004723BB" w:rsidRDefault="00105635" w:rsidP="00FD7CBA">
            <w:pPr>
              <w:rPr>
                <w:rFonts w:ascii="Candara" w:hAnsi="Candara"/>
                <w:sz w:val="20"/>
                <w:szCs w:val="20"/>
              </w:rPr>
            </w:pPr>
            <w:r w:rsidRPr="00FB3C47">
              <w:rPr>
                <w:rFonts w:ascii="Candara" w:hAnsi="Candara"/>
                <w:sz w:val="20"/>
                <w:szCs w:val="20"/>
              </w:rPr>
              <w:t xml:space="preserve">Proyecto Recuperación de Memoria Visual Centenario PUCP, </w:t>
            </w:r>
            <w:r>
              <w:rPr>
                <w:rFonts w:ascii="Candara" w:hAnsi="Candara"/>
                <w:sz w:val="20"/>
                <w:szCs w:val="20"/>
              </w:rPr>
              <w:t>Archivo</w:t>
            </w:r>
            <w:r w:rsidR="005E41C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E41CF" w:rsidRPr="005E41CF">
              <w:rPr>
                <w:rFonts w:ascii="Candara" w:hAnsi="Candara"/>
                <w:sz w:val="20"/>
                <w:szCs w:val="20"/>
              </w:rPr>
              <w:t xml:space="preserve">Roque Benavides </w:t>
            </w:r>
            <w:proofErr w:type="spellStart"/>
            <w:r w:rsidR="005E41CF" w:rsidRPr="005E41CF">
              <w:rPr>
                <w:rFonts w:ascii="Candara" w:hAnsi="Candara"/>
                <w:sz w:val="20"/>
                <w:szCs w:val="20"/>
              </w:rPr>
              <w:t>Ganoza</w:t>
            </w:r>
            <w:proofErr w:type="spellEnd"/>
          </w:p>
        </w:tc>
      </w:tr>
      <w:tr w:rsidR="000E14CD" w14:paraId="520E63A7" w14:textId="77777777" w:rsidTr="00B355D0">
        <w:trPr>
          <w:trHeight w:val="564"/>
        </w:trPr>
        <w:tc>
          <w:tcPr>
            <w:tcW w:w="1809" w:type="dxa"/>
            <w:vAlign w:val="center"/>
          </w:tcPr>
          <w:p w14:paraId="2768CE82" w14:textId="77777777" w:rsidR="00B355D0" w:rsidRDefault="00E4246C" w:rsidP="00B355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Código </w:t>
            </w:r>
            <w:r w:rsidR="000229F8" w:rsidRPr="008F70EB">
              <w:rPr>
                <w:rFonts w:ascii="Candara" w:hAnsi="Candara"/>
                <w:sz w:val="20"/>
                <w:szCs w:val="20"/>
              </w:rPr>
              <w:t xml:space="preserve">en </w:t>
            </w:r>
          </w:p>
          <w:p w14:paraId="7D60A346" w14:textId="2E59ACAE" w:rsidR="000E14CD" w:rsidRPr="008F70EB" w:rsidRDefault="000229F8" w:rsidP="00B355D0">
            <w:pPr>
              <w:rPr>
                <w:rFonts w:ascii="Candara" w:hAnsi="Candara"/>
                <w:sz w:val="20"/>
                <w:szCs w:val="20"/>
              </w:rPr>
            </w:pPr>
            <w:r w:rsidRPr="008F70EB">
              <w:rPr>
                <w:rFonts w:ascii="Candara" w:hAnsi="Candara"/>
                <w:sz w:val="20"/>
                <w:szCs w:val="20"/>
              </w:rPr>
              <w:t xml:space="preserve">archivo </w:t>
            </w:r>
            <w:proofErr w:type="spellStart"/>
            <w:r w:rsidR="00B355D0">
              <w:rPr>
                <w:rFonts w:ascii="Candara" w:hAnsi="Candara"/>
                <w:sz w:val="20"/>
                <w:szCs w:val="20"/>
              </w:rPr>
              <w:t>proc</w:t>
            </w:r>
            <w:proofErr w:type="spellEnd"/>
            <w:r w:rsidR="00B355D0" w:rsidRPr="00E4246C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64" w:type="dxa"/>
            <w:vAlign w:val="center"/>
          </w:tcPr>
          <w:p w14:paraId="7F649E00" w14:textId="13A46BEC" w:rsidR="000E14CD" w:rsidRPr="004723BB" w:rsidRDefault="000E14C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229F8" w14:paraId="20D34E3B" w14:textId="77777777" w:rsidTr="00B355D0">
        <w:trPr>
          <w:trHeight w:val="704"/>
        </w:trPr>
        <w:tc>
          <w:tcPr>
            <w:tcW w:w="1809" w:type="dxa"/>
            <w:vAlign w:val="center"/>
          </w:tcPr>
          <w:p w14:paraId="2A0D1D2F" w14:textId="542557CF" w:rsidR="00B355D0" w:rsidRDefault="000229F8" w:rsidP="00B355D0">
            <w:pPr>
              <w:rPr>
                <w:rFonts w:ascii="Candara" w:hAnsi="Candara"/>
                <w:sz w:val="20"/>
                <w:szCs w:val="20"/>
              </w:rPr>
            </w:pPr>
            <w:r w:rsidRPr="00157DC1">
              <w:rPr>
                <w:rFonts w:ascii="Candara" w:hAnsi="Candara"/>
                <w:sz w:val="20"/>
                <w:szCs w:val="20"/>
              </w:rPr>
              <w:t xml:space="preserve">Código </w:t>
            </w:r>
            <w:r w:rsidR="00B355D0">
              <w:rPr>
                <w:rFonts w:ascii="Candara" w:hAnsi="Candara"/>
                <w:sz w:val="20"/>
                <w:szCs w:val="20"/>
              </w:rPr>
              <w:t>en</w:t>
            </w:r>
          </w:p>
          <w:p w14:paraId="67213121" w14:textId="37A681D5" w:rsidR="000229F8" w:rsidRPr="00157DC1" w:rsidRDefault="000229F8" w:rsidP="00B355D0">
            <w:pPr>
              <w:rPr>
                <w:rFonts w:ascii="Candara" w:hAnsi="Candara"/>
                <w:sz w:val="20"/>
                <w:szCs w:val="20"/>
              </w:rPr>
            </w:pPr>
            <w:r w:rsidRPr="00157DC1">
              <w:rPr>
                <w:rFonts w:ascii="Candara" w:hAnsi="Candara"/>
                <w:sz w:val="20"/>
                <w:szCs w:val="20"/>
              </w:rPr>
              <w:t>Centenario</w:t>
            </w:r>
          </w:p>
        </w:tc>
        <w:tc>
          <w:tcPr>
            <w:tcW w:w="7964" w:type="dxa"/>
            <w:vAlign w:val="center"/>
          </w:tcPr>
          <w:p w14:paraId="7F66ABA1" w14:textId="6F80942F" w:rsidR="000229F8" w:rsidRPr="00E4246C" w:rsidRDefault="00ED005F" w:rsidP="00B355D0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ED005F">
              <w:rPr>
                <w:rFonts w:ascii="Candara" w:hAnsi="Candara"/>
                <w:color w:val="000000"/>
                <w:sz w:val="20"/>
                <w:szCs w:val="20"/>
              </w:rPr>
              <w:t>FAMBenavidesG02w.jpg</w:t>
            </w:r>
          </w:p>
        </w:tc>
      </w:tr>
      <w:tr w:rsidR="000E14CD" w14:paraId="5B4D9D9C" w14:textId="77777777" w:rsidTr="005E06D9">
        <w:trPr>
          <w:trHeight w:val="561"/>
        </w:trPr>
        <w:tc>
          <w:tcPr>
            <w:tcW w:w="1809" w:type="dxa"/>
            <w:vAlign w:val="center"/>
          </w:tcPr>
          <w:p w14:paraId="0D11EF0A" w14:textId="01C4669B" w:rsidR="00A913C8" w:rsidRPr="005E06D9" w:rsidRDefault="007735A3">
            <w:pPr>
              <w:rPr>
                <w:rFonts w:ascii="Candara" w:hAnsi="Candara"/>
                <w:sz w:val="20"/>
                <w:szCs w:val="20"/>
              </w:rPr>
            </w:pPr>
            <w:r w:rsidRPr="008F70EB">
              <w:rPr>
                <w:rFonts w:ascii="Candara" w:hAnsi="Candara"/>
                <w:sz w:val="20"/>
                <w:szCs w:val="20"/>
              </w:rPr>
              <w:t>Palabras clave</w:t>
            </w:r>
          </w:p>
        </w:tc>
        <w:tc>
          <w:tcPr>
            <w:tcW w:w="7964" w:type="dxa"/>
            <w:vAlign w:val="center"/>
          </w:tcPr>
          <w:p w14:paraId="040BFF4B" w14:textId="247DA7F7" w:rsidR="000E14CD" w:rsidRPr="006F57CE" w:rsidRDefault="005E41CF" w:rsidP="00E27E35">
            <w:pPr>
              <w:rPr>
                <w:rFonts w:ascii="Candara" w:hAnsi="Candara"/>
                <w:sz w:val="20"/>
                <w:szCs w:val="20"/>
              </w:rPr>
            </w:pPr>
            <w:r w:rsidRPr="005E41CF">
              <w:rPr>
                <w:rFonts w:ascii="Candara" w:hAnsi="Candara"/>
                <w:sz w:val="20"/>
                <w:szCs w:val="20"/>
              </w:rPr>
              <w:t xml:space="preserve">Roque Benavides </w:t>
            </w:r>
            <w:proofErr w:type="spellStart"/>
            <w:r w:rsidRPr="005E41CF">
              <w:rPr>
                <w:rFonts w:ascii="Candara" w:hAnsi="Candara"/>
                <w:sz w:val="20"/>
                <w:szCs w:val="20"/>
              </w:rPr>
              <w:t>Ganoza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="00ED005F" w:rsidRPr="00ED005F">
              <w:rPr>
                <w:rFonts w:ascii="Candara" w:hAnsi="Candara"/>
                <w:sz w:val="20"/>
                <w:szCs w:val="20"/>
              </w:rPr>
              <w:t>FAMBenavidesG02w.jpg</w:t>
            </w:r>
            <w:r w:rsidR="00E27E35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E27E35" w:rsidRPr="00E27E35">
              <w:rPr>
                <w:rFonts w:ascii="Candara" w:hAnsi="Candara"/>
                <w:sz w:val="20"/>
                <w:szCs w:val="20"/>
              </w:rPr>
              <w:t xml:space="preserve">Alberto Benavides de la Quintana, Alberto Benavides </w:t>
            </w:r>
            <w:proofErr w:type="spellStart"/>
            <w:r w:rsidR="00E27E35" w:rsidRPr="00E27E35">
              <w:rPr>
                <w:rFonts w:ascii="Candara" w:hAnsi="Candara"/>
                <w:sz w:val="20"/>
                <w:szCs w:val="20"/>
              </w:rPr>
              <w:t>Ganoza</w:t>
            </w:r>
            <w:proofErr w:type="spellEnd"/>
            <w:r w:rsidR="00E27E35" w:rsidRPr="00E27E35">
              <w:rPr>
                <w:rFonts w:ascii="Candara" w:hAnsi="Candara"/>
                <w:sz w:val="20"/>
                <w:szCs w:val="20"/>
              </w:rPr>
              <w:t>, Ingeniero, Ingeniería, minas, Ingeniero de Minas, profesor, Profesor Honorario, rector, Salomón Lerner Febres, iniciador, coordinador, minero, geólogo, Geología, empresario, 1997, Pando</w:t>
            </w:r>
            <w:bookmarkStart w:id="0" w:name="_GoBack"/>
            <w:bookmarkEnd w:id="0"/>
          </w:p>
        </w:tc>
      </w:tr>
      <w:tr w:rsidR="0038375E" w14:paraId="61C0DAF4" w14:textId="77777777" w:rsidTr="00B355D0">
        <w:trPr>
          <w:trHeight w:val="593"/>
        </w:trPr>
        <w:tc>
          <w:tcPr>
            <w:tcW w:w="1809" w:type="dxa"/>
            <w:vAlign w:val="center"/>
          </w:tcPr>
          <w:p w14:paraId="1B87D416" w14:textId="42CAB118" w:rsidR="0038375E" w:rsidRPr="00C22820" w:rsidRDefault="00B355D0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  <w:r w:rsidRPr="00C22820">
              <w:rPr>
                <w:rFonts w:ascii="Candara" w:hAnsi="Candara"/>
                <w:color w:val="404040" w:themeColor="text1" w:themeTint="BF"/>
                <w:sz w:val="20"/>
                <w:szCs w:val="20"/>
              </w:rPr>
              <w:t>Información adicional</w:t>
            </w:r>
          </w:p>
        </w:tc>
        <w:tc>
          <w:tcPr>
            <w:tcW w:w="7964" w:type="dxa"/>
            <w:vAlign w:val="center"/>
          </w:tcPr>
          <w:p w14:paraId="44E008DD" w14:textId="1854D3A1" w:rsidR="0038375E" w:rsidRPr="00C22820" w:rsidRDefault="0038375E" w:rsidP="00B04718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</w:tr>
      <w:tr w:rsidR="0038375E" w14:paraId="73B2EA15" w14:textId="77777777" w:rsidTr="00B355D0">
        <w:trPr>
          <w:trHeight w:val="447"/>
        </w:trPr>
        <w:tc>
          <w:tcPr>
            <w:tcW w:w="1809" w:type="dxa"/>
            <w:vAlign w:val="center"/>
          </w:tcPr>
          <w:p w14:paraId="44D8FE3C" w14:textId="610402E2" w:rsidR="0038375E" w:rsidRPr="00C22820" w:rsidRDefault="00B355D0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  <w:r w:rsidRPr="00C22820">
              <w:rPr>
                <w:rFonts w:ascii="Candara" w:hAnsi="Candara"/>
                <w:color w:val="404040" w:themeColor="text1" w:themeTint="BF"/>
                <w:sz w:val="20"/>
                <w:szCs w:val="20"/>
              </w:rPr>
              <w:t>Comentarios destacados</w:t>
            </w:r>
          </w:p>
        </w:tc>
        <w:tc>
          <w:tcPr>
            <w:tcW w:w="7964" w:type="dxa"/>
            <w:vAlign w:val="center"/>
          </w:tcPr>
          <w:p w14:paraId="539E1C5C" w14:textId="7FBEAB23" w:rsidR="0038375E" w:rsidRPr="00C22820" w:rsidRDefault="0038375E" w:rsidP="005D53E8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</w:tr>
      <w:tr w:rsidR="002257B9" w14:paraId="7E2C6D3C" w14:textId="77777777" w:rsidTr="00B355D0">
        <w:trPr>
          <w:trHeight w:val="897"/>
        </w:trPr>
        <w:tc>
          <w:tcPr>
            <w:tcW w:w="1809" w:type="dxa"/>
            <w:vAlign w:val="center"/>
          </w:tcPr>
          <w:p w14:paraId="05D03169" w14:textId="5860A4E6" w:rsidR="002257B9" w:rsidRPr="00C22820" w:rsidRDefault="007D5288" w:rsidP="008C08B0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  <w:r w:rsidRPr="00C22820">
              <w:rPr>
                <w:rFonts w:ascii="Candara" w:hAnsi="Candara"/>
                <w:color w:val="404040" w:themeColor="text1" w:themeTint="BF"/>
                <w:sz w:val="20"/>
                <w:szCs w:val="20"/>
              </w:rPr>
              <w:t xml:space="preserve">Derechos </w:t>
            </w:r>
            <w:r w:rsidR="008C08B0" w:rsidRPr="00C22820">
              <w:rPr>
                <w:rFonts w:ascii="Candara" w:hAnsi="Candara"/>
                <w:color w:val="404040" w:themeColor="text1" w:themeTint="BF"/>
                <w:sz w:val="20"/>
                <w:szCs w:val="20"/>
              </w:rPr>
              <w:t>Reservados</w:t>
            </w:r>
          </w:p>
        </w:tc>
        <w:tc>
          <w:tcPr>
            <w:tcW w:w="7964" w:type="dxa"/>
            <w:vAlign w:val="center"/>
          </w:tcPr>
          <w:p w14:paraId="1F042C83" w14:textId="7BF68A09" w:rsidR="002257B9" w:rsidRPr="00C22820" w:rsidRDefault="007D5288" w:rsidP="007D5288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  <w:r w:rsidRPr="00C22820">
              <w:rPr>
                <w:rFonts w:ascii="Candara" w:hAnsi="Candara"/>
                <w:color w:val="404040" w:themeColor="text1" w:themeTint="BF"/>
                <w:sz w:val="20"/>
                <w:szCs w:val="20"/>
              </w:rPr>
              <w:t>Las fotos de este Banco de Imágenes son de propiedad de las instituciones de procedencia</w:t>
            </w:r>
            <w:r w:rsidRPr="00C22820">
              <w:rPr>
                <w:rFonts w:ascii="Candara" w:hAnsi="Candara" w:cs="Lucida Grande"/>
                <w:color w:val="404040" w:themeColor="text1" w:themeTint="BF"/>
                <w:sz w:val="20"/>
                <w:szCs w:val="20"/>
              </w:rPr>
              <w:t>. Es responsabilidad del usuario de este servidor hacer las consultas respectivas para el uso de las mismas.</w:t>
            </w:r>
          </w:p>
        </w:tc>
      </w:tr>
      <w:tr w:rsidR="005E06D9" w14:paraId="2C17751B" w14:textId="77777777" w:rsidTr="001E1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66A0E7A0" w14:textId="77777777" w:rsidR="005E06D9" w:rsidRPr="00C22820" w:rsidRDefault="005E06D9" w:rsidP="001E1677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  <w:r>
              <w:rPr>
                <w:rFonts w:ascii="Candara" w:hAnsi="Candara"/>
                <w:color w:val="404040" w:themeColor="text1" w:themeTint="BF"/>
                <w:sz w:val="20"/>
                <w:szCs w:val="20"/>
              </w:rPr>
              <w:t>Preparó la ficha</w:t>
            </w:r>
            <w:r w:rsidRPr="00EF43F0">
              <w:rPr>
                <w:rFonts w:ascii="Candara" w:hAnsi="Candara"/>
                <w:sz w:val="20"/>
                <w:szCs w:val="20"/>
              </w:rPr>
              <w:t>. . .</w:t>
            </w:r>
            <w:r>
              <w:rPr>
                <w:rFonts w:ascii="Candara" w:hAnsi="Candara"/>
                <w:color w:val="404040" w:themeColor="text1" w:themeTint="BF"/>
                <w:sz w:val="20"/>
                <w:szCs w:val="20"/>
              </w:rPr>
              <w:t xml:space="preserve"> el </w:t>
            </w:r>
            <w:r w:rsidRPr="00EF43F0">
              <w:rPr>
                <w:rFonts w:ascii="Candara" w:hAnsi="Candara"/>
                <w:sz w:val="20"/>
                <w:szCs w:val="20"/>
              </w:rPr>
              <w:t>. . .</w:t>
            </w:r>
          </w:p>
        </w:tc>
        <w:tc>
          <w:tcPr>
            <w:tcW w:w="7964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45E2E27B" w14:textId="5B4F3A42" w:rsidR="005E06D9" w:rsidRPr="004465AE" w:rsidRDefault="00E95619" w:rsidP="00AC7CD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Rogelio Oré, febrero 2016</w:t>
            </w:r>
          </w:p>
        </w:tc>
      </w:tr>
    </w:tbl>
    <w:p w14:paraId="7D89AF2D" w14:textId="2591D329" w:rsidR="004664F6" w:rsidRPr="00047B62" w:rsidRDefault="004664F6">
      <w:pPr>
        <w:rPr>
          <w:rFonts w:ascii="Candara" w:hAnsi="Candara"/>
          <w:sz w:val="22"/>
          <w:szCs w:val="22"/>
        </w:rPr>
      </w:pPr>
    </w:p>
    <w:sectPr w:rsidR="004664F6" w:rsidRPr="00047B62" w:rsidSect="00680800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6"/>
    <w:rsid w:val="00020E8E"/>
    <w:rsid w:val="000229F8"/>
    <w:rsid w:val="00027834"/>
    <w:rsid w:val="0003469D"/>
    <w:rsid w:val="00047B62"/>
    <w:rsid w:val="00053B72"/>
    <w:rsid w:val="000821C3"/>
    <w:rsid w:val="000A5B78"/>
    <w:rsid w:val="000E14CD"/>
    <w:rsid w:val="000F518A"/>
    <w:rsid w:val="00105635"/>
    <w:rsid w:val="00122756"/>
    <w:rsid w:val="0014451D"/>
    <w:rsid w:val="00155891"/>
    <w:rsid w:val="00157DC1"/>
    <w:rsid w:val="00166D77"/>
    <w:rsid w:val="001A72C5"/>
    <w:rsid w:val="001D6B1A"/>
    <w:rsid w:val="0021630A"/>
    <w:rsid w:val="002257B9"/>
    <w:rsid w:val="00230435"/>
    <w:rsid w:val="00234676"/>
    <w:rsid w:val="002A3F76"/>
    <w:rsid w:val="002E62C1"/>
    <w:rsid w:val="002F0012"/>
    <w:rsid w:val="00366E3A"/>
    <w:rsid w:val="00370047"/>
    <w:rsid w:val="0038375E"/>
    <w:rsid w:val="003A2A58"/>
    <w:rsid w:val="003C07EB"/>
    <w:rsid w:val="003E53E3"/>
    <w:rsid w:val="003F2534"/>
    <w:rsid w:val="00404CBF"/>
    <w:rsid w:val="00407190"/>
    <w:rsid w:val="00456A0D"/>
    <w:rsid w:val="004664F6"/>
    <w:rsid w:val="004723BB"/>
    <w:rsid w:val="004A6D6C"/>
    <w:rsid w:val="004B0991"/>
    <w:rsid w:val="004E469A"/>
    <w:rsid w:val="00514D2C"/>
    <w:rsid w:val="00532C65"/>
    <w:rsid w:val="00565967"/>
    <w:rsid w:val="005D53E8"/>
    <w:rsid w:val="005E06D9"/>
    <w:rsid w:val="005E41CF"/>
    <w:rsid w:val="0061672A"/>
    <w:rsid w:val="00621237"/>
    <w:rsid w:val="006321BF"/>
    <w:rsid w:val="00640DA2"/>
    <w:rsid w:val="00680800"/>
    <w:rsid w:val="006C12AC"/>
    <w:rsid w:val="006F57CE"/>
    <w:rsid w:val="00732DDB"/>
    <w:rsid w:val="007577CA"/>
    <w:rsid w:val="007735A3"/>
    <w:rsid w:val="00785C41"/>
    <w:rsid w:val="007B01B2"/>
    <w:rsid w:val="007B1A9B"/>
    <w:rsid w:val="007D5288"/>
    <w:rsid w:val="007D541D"/>
    <w:rsid w:val="008174CF"/>
    <w:rsid w:val="00841D5A"/>
    <w:rsid w:val="00844A53"/>
    <w:rsid w:val="00860B28"/>
    <w:rsid w:val="00867C16"/>
    <w:rsid w:val="00881C2C"/>
    <w:rsid w:val="008B5BF1"/>
    <w:rsid w:val="008B7FD7"/>
    <w:rsid w:val="008C06A7"/>
    <w:rsid w:val="008C08B0"/>
    <w:rsid w:val="008F70EB"/>
    <w:rsid w:val="00925FE4"/>
    <w:rsid w:val="00932BE9"/>
    <w:rsid w:val="00936301"/>
    <w:rsid w:val="00944C7C"/>
    <w:rsid w:val="00981969"/>
    <w:rsid w:val="009B19C6"/>
    <w:rsid w:val="009D4234"/>
    <w:rsid w:val="009E5D6F"/>
    <w:rsid w:val="009E7E30"/>
    <w:rsid w:val="00A913C8"/>
    <w:rsid w:val="00AC7CDB"/>
    <w:rsid w:val="00B04718"/>
    <w:rsid w:val="00B355D0"/>
    <w:rsid w:val="00B3598D"/>
    <w:rsid w:val="00B55B07"/>
    <w:rsid w:val="00B66D51"/>
    <w:rsid w:val="00B70509"/>
    <w:rsid w:val="00B929C4"/>
    <w:rsid w:val="00BA3025"/>
    <w:rsid w:val="00C22820"/>
    <w:rsid w:val="00C669ED"/>
    <w:rsid w:val="00C704BC"/>
    <w:rsid w:val="00C915BD"/>
    <w:rsid w:val="00CA3C11"/>
    <w:rsid w:val="00CB7ECC"/>
    <w:rsid w:val="00CD64FC"/>
    <w:rsid w:val="00CE36EF"/>
    <w:rsid w:val="00CF606D"/>
    <w:rsid w:val="00D24CDA"/>
    <w:rsid w:val="00D338D2"/>
    <w:rsid w:val="00D42FFB"/>
    <w:rsid w:val="00D801AA"/>
    <w:rsid w:val="00D95EE9"/>
    <w:rsid w:val="00DE1F28"/>
    <w:rsid w:val="00DF3BB0"/>
    <w:rsid w:val="00DF57AE"/>
    <w:rsid w:val="00E27E35"/>
    <w:rsid w:val="00E4246C"/>
    <w:rsid w:val="00E7029E"/>
    <w:rsid w:val="00E95619"/>
    <w:rsid w:val="00E97EED"/>
    <w:rsid w:val="00EB7599"/>
    <w:rsid w:val="00ED005F"/>
    <w:rsid w:val="00ED2C3B"/>
    <w:rsid w:val="00F3719D"/>
    <w:rsid w:val="00F47BFE"/>
    <w:rsid w:val="00F54E2E"/>
    <w:rsid w:val="00F57E71"/>
    <w:rsid w:val="00FB5EF2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5D7A6"/>
  <w14:defaultImageDpi w14:val="300"/>
  <w15:docId w15:val="{890ADCD5-E744-482B-B610-A93340B3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9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99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E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2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</dc:creator>
  <cp:keywords/>
  <dc:description/>
  <cp:lastModifiedBy>Roge</cp:lastModifiedBy>
  <cp:revision>2</cp:revision>
  <dcterms:created xsi:type="dcterms:W3CDTF">2016-02-17T17:46:00Z</dcterms:created>
  <dcterms:modified xsi:type="dcterms:W3CDTF">2016-02-17T17:46:00Z</dcterms:modified>
</cp:coreProperties>
</file>