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276" w:lineRule="auto"/>
        <w:jc w:val="both"/>
        <w:rPr>
          <w:b w:val="1"/>
          <w:color w:val="222222"/>
          <w:highlight w:val="white"/>
        </w:rPr>
      </w:pPr>
      <w:r w:rsidDel="00000000" w:rsidR="00000000" w:rsidRPr="00000000">
        <w:rPr>
          <w:b w:val="1"/>
          <w:color w:val="222222"/>
          <w:highlight w:val="white"/>
          <w:rtl w:val="0"/>
        </w:rPr>
        <w:t xml:space="preserve">Peña González, C. (1997). Notas sobre la justificación del uso de sistemas alternativos. Revista jurídica de la Universidad de Palermo., 2(1),  pp.1-21. </w:t>
      </w:r>
    </w:p>
    <w:p w:rsidR="00000000" w:rsidDel="00000000" w:rsidP="00000000" w:rsidRDefault="00000000" w:rsidRPr="00000000" w14:paraId="00000002">
      <w:pPr>
        <w:spacing w:after="0" w:line="276" w:lineRule="auto"/>
        <w:jc w:val="both"/>
        <w:rPr>
          <w:b w:val="1"/>
          <w:color w:val="222222"/>
          <w:highlight w:val="white"/>
        </w:rPr>
      </w:pPr>
      <w:r w:rsidDel="00000000" w:rsidR="00000000" w:rsidRPr="00000000">
        <w:rPr>
          <w:rtl w:val="0"/>
        </w:rPr>
      </w:r>
    </w:p>
    <w:p w:rsidR="00000000" w:rsidDel="00000000" w:rsidP="00000000" w:rsidRDefault="00000000" w:rsidRPr="00000000" w14:paraId="00000003">
      <w:pPr>
        <w:spacing w:after="0" w:line="276" w:lineRule="auto"/>
        <w:jc w:val="both"/>
        <w:rPr>
          <w:b w:val="1"/>
          <w:color w:val="222222"/>
          <w:highlight w:val="white"/>
        </w:rPr>
      </w:pPr>
      <w:hyperlink r:id="rId8">
        <w:r w:rsidDel="00000000" w:rsidR="00000000" w:rsidRPr="00000000">
          <w:rPr>
            <w:b w:val="1"/>
            <w:color w:val="1155cc"/>
            <w:highlight w:val="white"/>
            <w:u w:val="single"/>
            <w:rtl w:val="0"/>
          </w:rPr>
          <w:t xml:space="preserve">https://www.palermo.edu/derecho/publicaciones/pdfs/revista_juridica/n2N1y2-Abril1997/02%201y2Juridica06.pdf</w:t>
        </w:r>
      </w:hyperlink>
      <w:r w:rsidDel="00000000" w:rsidR="00000000" w:rsidRPr="00000000">
        <w:rPr>
          <w:rtl w:val="0"/>
        </w:rPr>
      </w:r>
    </w:p>
    <w:p w:rsidR="00000000" w:rsidDel="00000000" w:rsidP="00000000" w:rsidRDefault="00000000" w:rsidRPr="00000000" w14:paraId="00000004">
      <w:pPr>
        <w:spacing w:after="0" w:line="276" w:lineRule="auto"/>
        <w:jc w:val="both"/>
        <w:rPr>
          <w:b w:val="1"/>
          <w:color w:val="222222"/>
          <w:highlight w:val="white"/>
        </w:rPr>
      </w:pPr>
      <w:r w:rsidDel="00000000" w:rsidR="00000000" w:rsidRPr="00000000">
        <w:rPr>
          <w:rtl w:val="0"/>
        </w:rPr>
      </w:r>
    </w:p>
    <w:p w:rsidR="00000000" w:rsidDel="00000000" w:rsidP="00000000" w:rsidRDefault="00000000" w:rsidRPr="00000000" w14:paraId="00000005">
      <w:pPr>
        <w:spacing w:after="0" w:line="276" w:lineRule="auto"/>
        <w:jc w:val="both"/>
        <w:rPr>
          <w:b w:val="1"/>
          <w:color w:val="222222"/>
          <w:highlight w:val="white"/>
        </w:rPr>
      </w:pPr>
      <w:r w:rsidDel="00000000" w:rsidR="00000000" w:rsidRPr="00000000">
        <w:rPr>
          <w:rtl w:val="0"/>
        </w:rPr>
      </w:r>
    </w:p>
    <w:p w:rsidR="00000000" w:rsidDel="00000000" w:rsidP="00000000" w:rsidRDefault="00000000" w:rsidRPr="00000000" w14:paraId="00000006">
      <w:pPr>
        <w:spacing w:after="0" w:line="276" w:lineRule="auto"/>
        <w:jc w:val="both"/>
        <w:rPr>
          <w:b w:val="1"/>
          <w:color w:val="222222"/>
          <w:highlight w:val="white"/>
        </w:rPr>
      </w:pPr>
      <w:r w:rsidDel="00000000" w:rsidR="00000000" w:rsidRPr="00000000">
        <w:rPr>
          <w:b w:val="1"/>
          <w:color w:val="222222"/>
          <w:highlight w:val="white"/>
          <w:rtl w:val="0"/>
        </w:rPr>
        <w:t xml:space="preserve">Inicio pagina 1</w:t>
      </w:r>
      <w:r w:rsidDel="00000000" w:rsidR="00000000" w:rsidRPr="00000000">
        <w:rPr>
          <w:rtl w:val="0"/>
        </w:rPr>
      </w:r>
    </w:p>
    <w:p w:rsidR="00000000" w:rsidDel="00000000" w:rsidP="00000000" w:rsidRDefault="00000000" w:rsidRPr="00000000" w14:paraId="00000007">
      <w:pPr>
        <w:spacing w:after="0" w:line="276" w:lineRule="auto"/>
        <w:jc w:val="both"/>
        <w:rPr>
          <w:b w:val="1"/>
        </w:rPr>
      </w:pPr>
      <w:r w:rsidDel="00000000" w:rsidR="00000000" w:rsidRPr="00000000">
        <w:rPr>
          <w:rtl w:val="0"/>
        </w:rPr>
      </w:r>
    </w:p>
    <w:p w:rsidR="00000000" w:rsidDel="00000000" w:rsidP="00000000" w:rsidRDefault="00000000" w:rsidRPr="00000000" w14:paraId="00000008">
      <w:pPr>
        <w:pStyle w:val="Heading1"/>
        <w:spacing w:after="0" w:line="276" w:lineRule="auto"/>
        <w:jc w:val="both"/>
        <w:rPr/>
      </w:pPr>
      <w:bookmarkStart w:colFirst="0" w:colLast="0" w:name="_heading=h.ki3pp5ez6tqd" w:id="0"/>
      <w:bookmarkEnd w:id="0"/>
      <w:r w:rsidDel="00000000" w:rsidR="00000000" w:rsidRPr="00000000">
        <w:rPr>
          <w:rtl w:val="0"/>
        </w:rPr>
        <w:t xml:space="preserve">Notas sobre la justificación del uso de sistemas alternativos</w:t>
      </w:r>
    </w:p>
    <w:p w:rsidR="00000000" w:rsidDel="00000000" w:rsidP="00000000" w:rsidRDefault="00000000" w:rsidRPr="00000000" w14:paraId="00000009">
      <w:pPr>
        <w:spacing w:after="0" w:line="276" w:lineRule="auto"/>
        <w:jc w:val="both"/>
        <w:rPr>
          <w:b w:val="1"/>
        </w:rPr>
      </w:pPr>
      <w:r w:rsidDel="00000000" w:rsidR="00000000" w:rsidRPr="00000000">
        <w:rPr>
          <w:b w:val="1"/>
          <w:rtl w:val="0"/>
        </w:rPr>
        <w:t xml:space="preserve">Carlos Peña González       </w:t>
      </w:r>
    </w:p>
    <w:p w:rsidR="00000000" w:rsidDel="00000000" w:rsidP="00000000" w:rsidRDefault="00000000" w:rsidRPr="00000000" w14:paraId="0000000A">
      <w:pPr>
        <w:spacing w:after="0" w:line="276" w:lineRule="auto"/>
        <w:jc w:val="both"/>
        <w:rPr/>
      </w:pPr>
      <w:r w:rsidDel="00000000" w:rsidR="00000000" w:rsidRPr="00000000">
        <w:rPr>
          <w:rtl w:val="0"/>
        </w:rPr>
      </w:r>
    </w:p>
    <w:p w:rsidR="00000000" w:rsidDel="00000000" w:rsidP="00000000" w:rsidRDefault="00000000" w:rsidRPr="00000000" w14:paraId="0000000B">
      <w:pPr>
        <w:spacing w:after="0" w:line="276" w:lineRule="auto"/>
        <w:jc w:val="both"/>
        <w:rPr>
          <w:b w:val="1"/>
        </w:rPr>
      </w:pPr>
      <w:r w:rsidDel="00000000" w:rsidR="00000000" w:rsidRPr="00000000">
        <w:rPr>
          <w:rtl w:val="0"/>
        </w:rPr>
        <w:t xml:space="preserve">El texto que sigue se propone dilucidar, de una manera inevitablemente ensayística, algunos de los principales aspectos conceptuales y políticos que subyacen en los sistemas alternativos al estrictamente jurisdiccional, para la resolución de conflictos. Como espero mostrar, algunos de esos sistemas (en particular la mediación y el arbitraje) poseen importantes ventajas para una política de justicia que desee ser eficiente y socialmente adecuada. Las palabras que siguen constituyen un intento de fundar conceptualmente y otorgar plausibilidad a esa conclusión en apariencia trivial. Su itinerario es el que sigue. En primer lugar (I) intentaré explicitar los puntos de vista desde los cuales es posible efectuar el análisis de los sistemas alternativos. Espero mostrar cómo los sistemas alternativos pueden ser encarados teniendo en cuenta o, en cambio, obviando, las externalidades que provocan. Argumentaré en favor del primer punto de vista y, a propósito de él, intentaré caracterizar el modo en que la dogmática procesal encara estos sistemas. Tengo la impresión y el texto intenta fundar esa impresión que la dogmática procesal resulta ciega para los aspectos interactivos del conflicto. Luego de ello, y esta vez en segundo lugar (II), expondré cómo la promoción y fomento de ciertos sistemas alternativos exige redefinir el objetivo público en materia de justicia. Como es sabido, la definición de la tutela judicial como la única forma de tutela es uno de los ideales vinculados al surgimiento del Estado Moderno y al proceso de expropiación de competencias que se encuentra en su origen. Este objetivo de política vinculado a ese fenómeno histórico debe cambiarse, según creo, para alcanzar algún óptimo social que satisfaga los óptimos de eficiencia. Argüiré que las condiciones sociales inducidas por los procesos de modernización exigen redefinir el óptimo social en materia de justicia hasta incluir una oferta heterogénea de protección y de tutela. Todo ello exigirá algún rodeo teórico en derredor de lo que deba entenderse por óptimo en materia de justicia. Como el tema de los óptimos suele ser desconocido en el ámbito de quienes se ocupan del derecho, me veo obligado a efectuar una breve referencia teórica en ese ámbito. Establecido lo anterior es decir, dilucidados los puntos de vista desde los cuales es posible encarar el análisis y redefinido el objetivo de bienestar que, en materia de justicia, ha de ser perseguido el texto se interna en algunos de los principales sistemas alternativos que, a la luz de tal objetivo, ha de perseguirse. En esta parte (III) procuro mostrar cómo la consideración de sistemas alternativos se relaciona estrechamente con una conceptualización del conflicto que destaca los aspectos</w:t>
      </w:r>
      <w:r w:rsidDel="00000000" w:rsidR="00000000" w:rsidRPr="00000000">
        <w:rPr>
          <w:b w:val="1"/>
          <w:rtl w:val="0"/>
        </w:rPr>
        <w:t xml:space="preserve"> </w:t>
      </w:r>
      <w:r w:rsidDel="00000000" w:rsidR="00000000" w:rsidRPr="00000000">
        <w:rPr>
          <w:rtl w:val="0"/>
        </w:rPr>
        <w:t xml:space="preserve">de racionalidad estratégica y de interacción que involucran. El objetivo de esta tercera parte es poner de manifiesto cómo los sistemas alternativos vienen exigidos no sólo por una eficiente política de acceso, sino por la especial naturaleza de cierto tipo de conflictos. En la cuarta parte (IV), procuro destacar en relación con lo anteriormente expuesto las particulares ventajas de la mediación y el arbitraje. En favor de la primera, arguyo que se trata de la forma de resolución de conflictos que mejor combina la “juridificación de la vida” provocada por el cambio en las pautas de movilidad social y la necesidad de “desjudicializar los conflictos” exigida por el óptimo de eficiencia. En favor del arbitraje, esgrimo como principal razón para preferirlo la internalización de los costos de litigar que ese sistema provoca y la posibilidad que brinda el arbitraje corporativo o institucional de que la sociedad civil autogestione institucionalmente sus propios conflictos a través de las posibilidades que este le brinda. Como previamente lo anunciara, comenzaré examinando la cuestión metodológica relativa a los puntos de vista desde los cuales es posible efectuar el análisis. </w:t>
      </w:r>
      <w:r w:rsidDel="00000000" w:rsidR="00000000" w:rsidRPr="00000000">
        <w:rPr>
          <w:b w:val="1"/>
          <w:rtl w:val="0"/>
        </w:rPr>
        <w:t xml:space="preserve">     </w:t>
      </w:r>
    </w:p>
    <w:p w:rsidR="00000000" w:rsidDel="00000000" w:rsidP="00000000" w:rsidRDefault="00000000" w:rsidRPr="00000000" w14:paraId="0000000C">
      <w:pPr>
        <w:spacing w:after="0" w:line="276" w:lineRule="auto"/>
        <w:jc w:val="both"/>
        <w:rPr>
          <w:b w:val="1"/>
        </w:rPr>
      </w:pPr>
      <w:r w:rsidDel="00000000" w:rsidR="00000000" w:rsidRPr="00000000">
        <w:rPr>
          <w:rtl w:val="0"/>
        </w:rPr>
      </w:r>
    </w:p>
    <w:p w:rsidR="00000000" w:rsidDel="00000000" w:rsidP="00000000" w:rsidRDefault="00000000" w:rsidRPr="00000000" w14:paraId="0000000D">
      <w:pPr>
        <w:pStyle w:val="Heading1"/>
        <w:spacing w:after="0" w:line="276" w:lineRule="auto"/>
        <w:ind w:left="0" w:firstLine="0"/>
        <w:jc w:val="both"/>
        <w:rPr>
          <w:vertAlign w:val="baseline"/>
        </w:rPr>
      </w:pPr>
      <w:bookmarkStart w:colFirst="0" w:colLast="0" w:name="_heading=h.o2poep4v5cd6" w:id="1"/>
      <w:bookmarkEnd w:id="1"/>
      <w:r w:rsidDel="00000000" w:rsidR="00000000" w:rsidRPr="00000000">
        <w:rPr>
          <w:rtl w:val="0"/>
        </w:rPr>
        <w:t xml:space="preserve">I. </w:t>
      </w:r>
      <w:r w:rsidDel="00000000" w:rsidR="00000000" w:rsidRPr="00000000">
        <w:rPr>
          <w:vertAlign w:val="baseline"/>
          <w:rtl w:val="0"/>
        </w:rPr>
        <w:t xml:space="preserve">CUESTIONES CONCEPTUALES Y METODOLÓGICAS   </w:t>
      </w:r>
    </w:p>
    <w:p w:rsidR="00000000" w:rsidDel="00000000" w:rsidP="00000000" w:rsidRDefault="00000000" w:rsidRPr="00000000" w14:paraId="0000000E">
      <w:pPr>
        <w:spacing w:after="0" w:line="276" w:lineRule="auto"/>
        <w:jc w:val="both"/>
        <w:rPr/>
      </w:pPr>
      <w:r w:rsidDel="00000000" w:rsidR="00000000" w:rsidRPr="00000000">
        <w:rPr>
          <w:rtl w:val="0"/>
        </w:rPr>
      </w:r>
    </w:p>
    <w:p w:rsidR="00000000" w:rsidDel="00000000" w:rsidP="00000000" w:rsidRDefault="00000000" w:rsidRPr="00000000" w14:paraId="0000000F">
      <w:pPr>
        <w:spacing w:after="0" w:line="276" w:lineRule="auto"/>
        <w:jc w:val="both"/>
        <w:rPr/>
      </w:pPr>
      <w:r w:rsidDel="00000000" w:rsidR="00000000" w:rsidRPr="00000000">
        <w:rPr>
          <w:rtl w:val="0"/>
        </w:rPr>
        <w:t xml:space="preserve">El examen de los sistemas alternativos de resolución de conflictos puede, a mi juicio, ser emprendido desde dos puntos de vista diversos. Por una parte, es posible asumir su examen desde la perspectiva de la dogmática procesal intentando, por ejemplo, situar a esos sistemas en el complejo de conceptos con que esta describe y, a la vez, optimiza los sistemas estatales de resolución de disputas. Es sabido que, desde esta postura</w:t>
      </w:r>
      <w:r w:rsidDel="00000000" w:rsidR="00000000" w:rsidRPr="00000000">
        <w:rPr>
          <w:vertAlign w:val="superscript"/>
        </w:rPr>
        <w:footnoteReference w:customMarkFollows="0" w:id="0"/>
      </w:r>
      <w:r w:rsidDel="00000000" w:rsidR="00000000" w:rsidRPr="00000000">
        <w:rPr>
          <w:rtl w:val="0"/>
        </w:rPr>
        <w:t xml:space="preserve">, los mecanismos alternativos conducen a múltiples figuras procesales (como la transacción o el avenimiento) y plantean algunos problemas técnicos relativos a su homologación con la sentencia a fin de dotarla de coercibilidad</w:t>
      </w:r>
      <w:r w:rsidDel="00000000" w:rsidR="00000000" w:rsidRPr="00000000">
        <w:rPr>
          <w:vertAlign w:val="superscript"/>
        </w:rPr>
        <w:footnoteReference w:customMarkFollows="0" w:id="1"/>
      </w:r>
      <w:r w:rsidDel="00000000" w:rsidR="00000000" w:rsidRPr="00000000">
        <w:rPr>
          <w:rtl w:val="0"/>
        </w:rPr>
        <w:t xml:space="preserve">. Desde otro punto de vista y, abandonando esa primer perspectiva, es posible examinar los mecanismos de resolución de disputas o cualesquier otra figura procesal desde la visión del análisis social y con miras a la formulación de una cierta política de justicia. Si bien como ya lo adelantara, en la mayor parte de lo que voy a decir asumiré el segundo punto de vista, creo que podría resultar útil comenzar examinando los límites del primero. Para la dogmática procesal más comúnmente recurrida y que suele enfatizar el mecanismo adversarial pienso en autores como Calamandrei</w:t>
      </w:r>
      <w:r w:rsidDel="00000000" w:rsidR="00000000" w:rsidRPr="00000000">
        <w:rPr>
          <w:vertAlign w:val="superscript"/>
        </w:rPr>
        <w:footnoteReference w:customMarkFollows="0" w:id="2"/>
      </w:r>
      <w:r w:rsidDel="00000000" w:rsidR="00000000" w:rsidRPr="00000000">
        <w:rPr>
          <w:rtl w:val="0"/>
        </w:rPr>
        <w:t xml:space="preserve">, Carnelutti</w:t>
      </w:r>
      <w:r w:rsidDel="00000000" w:rsidR="00000000" w:rsidRPr="00000000">
        <w:rPr>
          <w:vertAlign w:val="superscript"/>
        </w:rPr>
        <w:footnoteReference w:customMarkFollows="0" w:id="3"/>
      </w:r>
      <w:r w:rsidDel="00000000" w:rsidR="00000000" w:rsidRPr="00000000">
        <w:rPr>
          <w:rtl w:val="0"/>
        </w:rPr>
        <w:t xml:space="preserve"> y los que habitualmente los siguen como Couture o Guasp los mecanismos alternativos cumplen, desde la visión conceptual, un papel análogo al que, para un civilista, cumplen fenómenos como el contrato por adhesión o la estipulación a favor de un tercero. Por ejemplo, la conciliación en el ámbito del derecho procesal, del mismo modo que la figura del contrato por adhesión en el ámbito civil constituye un fenómeno que excede, y hasta cierto punto transgrede, el sistema de conceptos construido en derredor del proceso. Permítanme que explique brevemente la analogía que intento trazar. La dogmática civil, como es sabido</w:t>
      </w:r>
      <w:r w:rsidDel="00000000" w:rsidR="00000000" w:rsidRPr="00000000">
        <w:rPr>
          <w:vertAlign w:val="superscript"/>
        </w:rPr>
        <w:footnoteReference w:customMarkFollows="0" w:id="4"/>
      </w:r>
      <w:r w:rsidDel="00000000" w:rsidR="00000000" w:rsidRPr="00000000">
        <w:rPr>
          <w:rtl w:val="0"/>
        </w:rPr>
        <w:t xml:space="preserve">, erige el conjunto de sus conceptos sobre la base del principio de autonomía, de manera que los fenómenos que no se ajustan a él, como ocurre con la adhesión, sólo logran ser expuestos como excepciones o figuras anómalas con respecto a la limpia fisonomía del negocio jurídico. Algo de eso creo ver en la dogmática procesal con respecto a figuras alternativas para la resolución de disputas. Si, como acabo de decir, el derecho civil erige el conjunto de sus conceptos sobre el paradigma de la promesa autónoma, el derecho procesal, a su turno, construye su complejo entramado conceptual sobre la base del modelo adversarial y heterónomo representado por la figura de la jurisdicción tal como ella aparece en el estado moderno. De ahí que no exista, propiamente hablando, un examen positivo de los fenómenos alternativos al adversarial, sino que exámenes más bien marginales que los sitúan, incluso en los códigos, como un modo “anormal” de terminación del proceso. En mi opinión, pero no es este el tema del que ahora debo ocuparmesubyace en el derecho procesal una cierta representación del estado moderno, monopolización de la fuerza, legitimidad procedimental, concepción adversarial del debate, que explica esa forma con que se conceptualizan fenómenos como los que ahora examinamos. A ese carácter conceptualmente tangencial y de excepción de estas figuras en el ámbito de la dogmática, también ha de sumarse la concepción que suele arrojar la dogmática procesal del propio procedimiento adversarial. Según una descripción ilustre (que se puede remontar a los orígenes de la ilustración y que desde el punto de vista ideológico aparece vinculada a la exégesis) el juez, según la definición de rol provista por el ordenamiento, concibe al litigio como una disputa en torno a derechos preexistentes contenidos en reglas. El derecho, según esta tesis, constituye un conjunto de reglas que instituyen títulos de propiedad o derechos de actuación exclusivos que, ex ante, confieren facultades. La violación de esas facultades da origen a una disputa que competerá al juez decidir. Según esta visión, el ordenamiento equivale a una suerte de orden cósmico: la disputa implica su fractura. Por lo mismo, el proceso judicial, según lo han insinuado autores como Michel Foucault, por ejemplo, está dispuesto como un debate en pos de la verdad. Todo en él está previsto para develar o descubrir quién tiene la razón, la verdad o la justicia de su lado. Según lo ha sugerido Foucault, ello explicaría que el modelo adversarial haya servido de base al paradigma de descubrimiento de la verdad que luego hizo fama en las ciencias duras</w:t>
      </w:r>
      <w:r w:rsidDel="00000000" w:rsidR="00000000" w:rsidRPr="00000000">
        <w:rPr>
          <w:vertAlign w:val="superscript"/>
        </w:rPr>
        <w:footnoteReference w:customMarkFollows="0" w:id="5"/>
      </w:r>
      <w:r w:rsidDel="00000000" w:rsidR="00000000" w:rsidRPr="00000000">
        <w:rPr>
          <w:rtl w:val="0"/>
        </w:rPr>
        <w:t xml:space="preserve">. Un punto de vista distinto es el que supone el análisis social. Para éste, no se trata ya de conceptualizar a los modelos alternativos por referencia a un sistema deductivo de conceptos, sino que se trata de identificar las ventajas relativas que diversas instituciones proveen respecto de una misma función, en este caso, la de resolución de controversias; para, desde allí, y ese es mi específico interés, formular una cierta política de justicia</w:t>
      </w:r>
      <w:r w:rsidDel="00000000" w:rsidR="00000000" w:rsidRPr="00000000">
        <w:rPr>
          <w:vertAlign w:val="superscript"/>
        </w:rPr>
        <w:footnoteReference w:customMarkFollows="0" w:id="6"/>
      </w:r>
      <w:r w:rsidDel="00000000" w:rsidR="00000000" w:rsidRPr="00000000">
        <w:rPr>
          <w:rtl w:val="0"/>
        </w:rPr>
        <w:t xml:space="preserve">. Si bien para los juristas el término “sistemas alternativos” posee un sentido estrecho que alude, básicamente al arbitraje, la mediación y la conciliación, ello no ocurre desde el punto de vista del análisis social que ahora deseo asumir. Desde este punto de vista, todos los conflictos (desde la guerra a la discordia intrafamiliar) acaban por resolverse, sea mediante la violencia, el abandono de la relación social, la sumisión autoritaria, el mercado o el olvido de manera que, en los hechos, toda sociedad presenta una amplia gama de formas alternativas, algunas de las cuales (pero no todas) son las que solemos denominar mecanismos alternativos. Desde esta perspectiva, la conciliación, la solución autoritaria o la solución adversarial de una misma disputa, son funcionalmente equivalentes y se pretende buscar la mejor decisión alternativa a la luz de un cierto ideal de moralidad política o social, entre esas varias formas posibles. Lo que interesa, entonces, desde esta segunda postura y supuesta la amplia oferta social de mecanismos alternativos, es lo siguiente: ¿cuáles de esas varias formas alternativas socialmente disponibles y, en aspectos relevantes, funcionalmente equivalentes, son las que hemos de fomentar y por qué? La respuesta a esa pregunta configura una cierta decisión en materia de política de justicia y contribuye a diseñar lo que, más adelante, denominaré un óptimo. Como cosa previa a la consideración de ese óptimo, resulta indispensable insistir en las características del análisis social de este tema. El análisis social de las formas alternativas de resolución de conflictos puede ser emprendido desde un punto de vista que deseo denominar externo o desde otro que, a la inversa, podemos denominar interno. En el primer caso, se trata de indagar por la situación que le corresponde a los sistemas alternativos en una política de justicia definida en base a criterios de bienestar social. Aquí cabe destacar cuestiones como el menor costo relativo de estos sistemas o la ampliación del acceso que provocan. En el segundo caso, en cambio, ya no se trata de postular a los sistemas alternativos como medios eficientes para el logro de una práctica social que provoque bienestar, sino que se trata de resaltar a esos mecanismos como formas interpersonalmente adecuadas de tratamiento del conflicto. Aquí, por ejemplo, suele destacarse la mejor utilización que hacen estos sistemas del componente emocional ínsito a todo conflicto, o el menor grado de agresividad que suponen. Como es obvio, la evaluación que uno haga de estos sistemas puede variar según el punto de vista que uno adopte y, en consecuencia, la evaluación global podría no ser consistente. Por ejemplo, la terapia psicoanalítica puede constituir, desde la posición de los partícipes, una espléndida forma de tratamiento del conflicto; pero no hay duda de que se trata de un método desastroso desde el punto de vista de las definiciones de una economía del bienestar que tenga en cuenta todos los intereses involucrados que, en cuestiones públicas, exceden, como es obvio, en mucho a las meras partes en conflicto. Así como desde la perspectiva de las decisiones sociales no estamos dispuestos a proteger la vida a cualesquier costo (y hacemos, como lo ha mostrado Calabresi</w:t>
      </w:r>
      <w:r w:rsidDel="00000000" w:rsidR="00000000" w:rsidRPr="00000000">
        <w:rPr>
          <w:vertAlign w:val="superscript"/>
        </w:rPr>
        <w:footnoteReference w:customMarkFollows="0" w:id="7"/>
      </w:r>
      <w:r w:rsidDel="00000000" w:rsidR="00000000" w:rsidRPr="00000000">
        <w:rPr>
          <w:rtl w:val="0"/>
        </w:rPr>
        <w:t xml:space="preserve">, carreteras más baratas a sabiendas que alguien morirá en esa vía) tampoco estamos dispuestos a resolver los conflictos a cualesquier precio. Dada la escasez inevitable con que se adoptan las decisiones públicas, cualesquier decisión posee un costo alternativo que debe ser considerado</w:t>
      </w:r>
      <w:r w:rsidDel="00000000" w:rsidR="00000000" w:rsidRPr="00000000">
        <w:rPr>
          <w:vertAlign w:val="superscript"/>
        </w:rPr>
        <w:footnoteReference w:customMarkFollows="0" w:id="8"/>
      </w:r>
      <w:r w:rsidDel="00000000" w:rsidR="00000000" w:rsidRPr="00000000">
        <w:rPr>
          <w:rtl w:val="0"/>
        </w:rPr>
        <w:t xml:space="preserve">. En lo que sigue, y como lo anuncié, comenzaré asumiendo este último punto de vista (es decir, el externo). Hacia el final agregaré algunas consideraciones relativas al interno. Como lo acabo de explicar, la oferta de mecanismos alternativos al jurisdiccional para la resolución de disputas es amplia y hetereogénea. Lo que ocurre es que no valoramos algunos de esos mecanismos porque, según creemos, contravienen nuestros ideales de moralidad o porque son ineficientes. En otros términos, contamos con razones prácticas (según la definición que de razón práctica daba Kant</w:t>
      </w:r>
      <w:r w:rsidDel="00000000" w:rsidR="00000000" w:rsidRPr="00000000">
        <w:rPr>
          <w:vertAlign w:val="superscript"/>
        </w:rPr>
        <w:footnoteReference w:customMarkFollows="0" w:id="9"/>
      </w:r>
      <w:r w:rsidDel="00000000" w:rsidR="00000000" w:rsidRPr="00000000">
        <w:rPr>
          <w:rtl w:val="0"/>
        </w:rPr>
        <w:t xml:space="preserve">) para desechar o inhibir el uso de algunos de estos medios (por ejemplo, el uso de la violencia extraestatal o la mera sumisión autoritaria) y, en cambio, fomentar otros (por ejemplo, y para tomar un caso de moda, la mediación). Desde la constitución del estado moderno definido como una asociación que reclama para sí, con éxito, el monopolio de la fuerza física</w:t>
      </w:r>
      <w:r w:rsidDel="00000000" w:rsidR="00000000" w:rsidRPr="00000000">
        <w:rPr>
          <w:vertAlign w:val="superscript"/>
        </w:rPr>
        <w:footnoteReference w:customMarkFollows="0" w:id="10"/>
      </w:r>
      <w:r w:rsidDel="00000000" w:rsidR="00000000" w:rsidRPr="00000000">
        <w:rPr>
          <w:rtl w:val="0"/>
        </w:rPr>
        <w:t xml:space="preserve"> existe un sólo tipo de mecanismo de resolución que el estado ha definido, diseñado y promovido, a saber, la solución adversarial a cargo de jueces que deciden quien tuvo, ex ante el conflicto, el derecho de su parte. En favor de esa definición más o menos explícita de política pública en cuestiones de justicia, se allegaron múltiples razones de legitimidad y de garantía. Ahora bien, el problema que, a continuación, me interesa explorar, es la redefinición de ese ideal en materia de política de justicia. Voy a sostener que existen dos motivos en favor de una ampliación del objetivo en materia de justicia, a saber, un motivo de eficiencia y un motivo que denominaré social. Es en ese orden como los examinaré. Lo que me interesa es presentar razones en favor de una redefinición del objetivo de bienestar en la política de justicia.</w:t>
      </w:r>
    </w:p>
    <w:p w:rsidR="00000000" w:rsidDel="00000000" w:rsidP="00000000" w:rsidRDefault="00000000" w:rsidRPr="00000000" w14:paraId="00000010">
      <w:pPr>
        <w:spacing w:after="0" w:line="276" w:lineRule="auto"/>
        <w:jc w:val="both"/>
        <w:rPr/>
      </w:pPr>
      <w:r w:rsidDel="00000000" w:rsidR="00000000" w:rsidRPr="00000000">
        <w:rPr>
          <w:rtl w:val="0"/>
        </w:rPr>
      </w:r>
    </w:p>
    <w:p w:rsidR="00000000" w:rsidDel="00000000" w:rsidP="00000000" w:rsidRDefault="00000000" w:rsidRPr="00000000" w14:paraId="00000011">
      <w:pPr>
        <w:pStyle w:val="Heading1"/>
        <w:spacing w:after="0" w:line="276" w:lineRule="auto"/>
        <w:jc w:val="both"/>
        <w:rPr/>
      </w:pPr>
      <w:bookmarkStart w:colFirst="0" w:colLast="0" w:name="_heading=h.t5wnluw7xrns" w:id="2"/>
      <w:bookmarkEnd w:id="2"/>
      <w:r w:rsidDel="00000000" w:rsidR="00000000" w:rsidRPr="00000000">
        <w:rPr>
          <w:rtl w:val="0"/>
        </w:rPr>
        <w:t xml:space="preserve">II. ¿CUÁNDO ES ÓPTIMO UN SISTEMA DE ADMINISTRACIÓN DE JUSTICIA?</w:t>
      </w:r>
    </w:p>
    <w:p w:rsidR="00000000" w:rsidDel="00000000" w:rsidP="00000000" w:rsidRDefault="00000000" w:rsidRPr="00000000" w14:paraId="00000012">
      <w:pPr>
        <w:spacing w:after="0" w:line="276" w:lineRule="auto"/>
        <w:jc w:val="both"/>
        <w:rPr>
          <w:b w:val="1"/>
        </w:rPr>
      </w:pPr>
      <w:r w:rsidDel="00000000" w:rsidR="00000000" w:rsidRPr="00000000">
        <w:rPr>
          <w:b w:val="1"/>
          <w:rtl w:val="0"/>
        </w:rPr>
        <w:t xml:space="preserve">LOS OBJETIVOS DE LA POLÍTICA DE JUSTICIA</w:t>
      </w:r>
    </w:p>
    <w:p w:rsidR="00000000" w:rsidDel="00000000" w:rsidP="00000000" w:rsidRDefault="00000000" w:rsidRPr="00000000" w14:paraId="00000013">
      <w:pPr>
        <w:spacing w:after="0" w:line="276" w:lineRule="auto"/>
        <w:jc w:val="both"/>
        <w:rPr/>
      </w:pPr>
      <w:r w:rsidDel="00000000" w:rsidR="00000000" w:rsidRPr="00000000">
        <w:rPr>
          <w:rtl w:val="0"/>
        </w:rPr>
      </w:r>
    </w:p>
    <w:p w:rsidR="00000000" w:rsidDel="00000000" w:rsidP="00000000" w:rsidRDefault="00000000" w:rsidRPr="00000000" w14:paraId="00000014">
      <w:pPr>
        <w:spacing w:after="0" w:line="276" w:lineRule="auto"/>
        <w:jc w:val="both"/>
        <w:rPr/>
      </w:pPr>
      <w:r w:rsidDel="00000000" w:rsidR="00000000" w:rsidRPr="00000000">
        <w:rPr>
          <w:rtl w:val="0"/>
        </w:rPr>
        <w:t xml:space="preserve">El tema de los óptimos en materia de decisiones públicas y, por extensión, el tema de lo que es óptimo en materia de justicia es una cuestión largamente debatida y la literatura sobre el tema es suficientemente amplia. Un planteamiento riguroso de la cuestión que, en definitiva, conduzca a justificar plenamente porque los sistemas alternativos integran un óptimo en cuestiones de justicia, exige hacer una explicación teórica que permita comprender cabalmente el tema. Todo esto nos servirá, además, como una introducción a algunos aspectos relevantes de la teoría del conflicto. En términos generales, el tema de los óptimos es decir, el tema de qué es lo mejor desde el punto de vista del colectivo se vincula con la teoría de la elección racional</w:t>
      </w:r>
      <w:r w:rsidDel="00000000" w:rsidR="00000000" w:rsidRPr="00000000">
        <w:rPr>
          <w:vertAlign w:val="superscript"/>
        </w:rPr>
        <w:footnoteReference w:customMarkFollows="0" w:id="11"/>
      </w:r>
      <w:r w:rsidDel="00000000" w:rsidR="00000000" w:rsidRPr="00000000">
        <w:rPr>
          <w:rtl w:val="0"/>
        </w:rPr>
        <w:t xml:space="preserve">. Se trata de esclarecer cuál es la mejor decisión posible para alcanzar un cierto estado de cosas definido como deseable. Desde el punto de vista de un actor individual, la elección según lo ha sugerido Elster</w:t>
      </w:r>
      <w:r w:rsidDel="00000000" w:rsidR="00000000" w:rsidRPr="00000000">
        <w:rPr>
          <w:vertAlign w:val="superscript"/>
        </w:rPr>
        <w:footnoteReference w:customMarkFollows="0" w:id="12"/>
      </w:r>
      <w:r w:rsidDel="00000000" w:rsidR="00000000" w:rsidRPr="00000000">
        <w:rPr>
          <w:rtl w:val="0"/>
        </w:rPr>
        <w:t xml:space="preserve"> puede ser vista como el encuentro de dos variables, a saber, los deseos del agente y el conjunto de sus oportunidades (o, como ha insistido Douglas North</w:t>
      </w:r>
      <w:r w:rsidDel="00000000" w:rsidR="00000000" w:rsidRPr="00000000">
        <w:rPr>
          <w:vertAlign w:val="superscript"/>
        </w:rPr>
        <w:footnoteReference w:customMarkFollows="0" w:id="13"/>
      </w:r>
      <w:r w:rsidDel="00000000" w:rsidR="00000000" w:rsidRPr="00000000">
        <w:rPr>
          <w:rtl w:val="0"/>
        </w:rPr>
        <w:t xml:space="preserve">, el conjunto de creencias del agente acerca de sus oportunidades). “Dado el conjunto de acciones disponibles, expresa un autor, el agente escoge racionalmente si no está a su disposición otra acción cuyas consecuencias prefiera a las de la acción escogida</w:t>
      </w:r>
      <w:r w:rsidDel="00000000" w:rsidR="00000000" w:rsidRPr="00000000">
        <w:rPr>
          <w:vertAlign w:val="superscript"/>
        </w:rPr>
        <w:footnoteReference w:customMarkFollows="0" w:id="14"/>
      </w:r>
      <w:r w:rsidDel="00000000" w:rsidR="00000000" w:rsidRPr="00000000">
        <w:rPr>
          <w:rtl w:val="0"/>
        </w:rPr>
        <w:t xml:space="preserve">”. Otro autor</w:t>
      </w:r>
      <w:r w:rsidDel="00000000" w:rsidR="00000000" w:rsidRPr="00000000">
        <w:rPr>
          <w:vertAlign w:val="superscript"/>
        </w:rPr>
        <w:footnoteReference w:customMarkFollows="0" w:id="15"/>
      </w:r>
      <w:r w:rsidDel="00000000" w:rsidR="00000000" w:rsidRPr="00000000">
        <w:rPr>
          <w:rtl w:val="0"/>
        </w:rPr>
        <w:t xml:space="preserve"> denomina valor a la regla de elección entre varias acciones mutuamente excluyentes. Así, pues, la teoría de la elección sugiere que una elección es racional cuando es derivable de un ordenamiento. Entonces, el actor individual actúa racionalmente cuando, según una escala ordinal de preferencias escoge el medio más eficiente de los que dispone para alcanzarlas, supuesto un cierto conjunto de oportunidades. De una manera análoga a ese concepto de racionalidad individual, es posible, ahora desde el punto de vista de sistemas interactivos más complejos, hablar de racionalidad social. “Dado que las acciones tienen una naturaleza colectiva o interpersonal expresa Arrow</w:t>
      </w:r>
      <w:r w:rsidDel="00000000" w:rsidR="00000000" w:rsidRPr="00000000">
        <w:rPr>
          <w:vertAlign w:val="superscript"/>
        </w:rPr>
        <w:footnoteReference w:customMarkFollows="0" w:id="16"/>
      </w:r>
      <w:r w:rsidDel="00000000" w:rsidR="00000000" w:rsidRPr="00000000">
        <w:rPr>
          <w:rtl w:val="0"/>
        </w:rPr>
        <w:t xml:space="preserve"> lo mismo debe ocurrir con la elección entre ellas. Un sistema de valores públicos o sociales en esencia es una necesidad lógica”. La racionalidad social equivaldría, desde este punto de vista, a un sistema social cuyos resultados fueran adecuados y coincidentes con un sistema de prioridades o conjunto de valores, según la terminología de Arrow bien establecido. Una colectividad o unidad social cualesquiera que contara con un sistema ordinal de preferencias que resultara coincidente con sus resultados sería, desde el punto de vista que he venido analizando, una unidad dotada de racionalidad social. Ahora bien, quedan planteados dos problemas a partir de ese concepto de racionalidad social y los dos se encuentran en el centro del diseño de políticas públicas; a saber: cómo es posible construir un sistema de preferencias sociales a partir de preferencias individuales (problema éste del que se ha ocupado paradigmáticamente el utilitarismo) y, luego, el problema de establecer mediante qué mecanismos de coordinación es posible alcanzar el bienestar social definido por el sistema de preferencias. De ambos problemas se ocupa, como lo adelanté, la teoría de la elección social: cómo es posible construir un sistema de preferencias sociales, en primer lugar, y cómo es posible, luego, coordinar las acciones para alcanzar ese sistema de preferencias. En lo que sigue, revisaré brevemente el primero. Mi propósito, como ya lo advertí, es el de espigar algunas conclusiones relativas a las políticas públicas de justicia, en particular en lo que atañe a la utilización de sistemas alternativos. El interés de toda esta digresión teórica radica en que es esta la única manera de conferir carácter racional y técnico a las políticas públicas. El problema que acabo de enunciar esto es, el problema de cómo es posible adoptar una decisión social partiendo de preferencias individualesintenta ser resuelto en la economía del bienestar por el conocido criterio del óptimo de Pareto</w:t>
      </w:r>
      <w:r w:rsidDel="00000000" w:rsidR="00000000" w:rsidRPr="00000000">
        <w:rPr>
          <w:vertAlign w:val="superscript"/>
        </w:rPr>
        <w:footnoteReference w:customMarkFollows="0" w:id="17"/>
      </w:r>
      <w:r w:rsidDel="00000000" w:rsidR="00000000" w:rsidRPr="00000000">
        <w:rPr>
          <w:rtl w:val="0"/>
        </w:rPr>
        <w:t xml:space="preserve"> (que subyace todavía en importantes teorías de relevancia jurídica y política como la de Rawls</w:t>
      </w:r>
      <w:r w:rsidDel="00000000" w:rsidR="00000000" w:rsidRPr="00000000">
        <w:rPr>
          <w:vertAlign w:val="superscript"/>
        </w:rPr>
        <w:footnoteReference w:customMarkFollows="0" w:id="18"/>
      </w:r>
      <w:r w:rsidDel="00000000" w:rsidR="00000000" w:rsidRPr="00000000">
        <w:rPr>
          <w:rtl w:val="0"/>
        </w:rPr>
        <w:t xml:space="preserve">). Según el criterio de Pareto una situación social cualesquiera es óptima cuando es el caso que no se puede aumentar la utilidad de un miembro sin empeorar, por ese hecho, la situación de otro. El principio de optimalidad de Pareto define el momento de eficiencia (económica) como una situación de suma cero, es decir, como una situación tal que lo que uno gana inevitablemente el otro lo pierde o, dicho de otro modo, como una situación en la que sólo caben decisiones distributivas. Como observan Buchanan y Tullock</w:t>
      </w:r>
      <w:r w:rsidDel="00000000" w:rsidR="00000000" w:rsidRPr="00000000">
        <w:rPr>
          <w:vertAlign w:val="superscript"/>
        </w:rPr>
        <w:footnoteReference w:customMarkFollows="0" w:id="19"/>
      </w:r>
      <w:r w:rsidDel="00000000" w:rsidR="00000000" w:rsidRPr="00000000">
        <w:rPr>
          <w:rtl w:val="0"/>
        </w:rPr>
        <w:t xml:space="preserve">, el óptimo de Pareto posee una justificación ética consistente en que entre dos situaciones cualesquiera se considera superior aquella en que todos sus miembros están mejor o en la que alguno, al menos, está mejor sin que ningún otro esté peor (la razón de todo ello es que al darse a todas las preferencias individuales un peso equivalente, debe favorecerse, en la adopción de decisiones, la unanimidad). Desde el punto de vista del óptimo de Pareto, un sistema de administración de justicia es eficiente cuando es el caso que no se puede mejorar el nivel de tutela que proporciona sin desproteger a alguien. No es óptimo o ineficiente, cuando admite disminuciones de costos sin alterar el nivel de tutela disponible, es decir, cuando se puede aumentar el nivel de tutela, a menor costo y sin desproteger a nadie que esté actualmente protegido. Se ha observado que un estado social cualesquiera puede ser óptimo en el sentido de Pareto con algunas personas en la más grande de las miserias y con otras en el mayor de los lujos, en tanto que no se pueda mejorar la situación de los pobres sin reducir el lujo de los ricos</w:t>
      </w:r>
      <w:r w:rsidDel="00000000" w:rsidR="00000000" w:rsidRPr="00000000">
        <w:rPr>
          <w:vertAlign w:val="superscript"/>
        </w:rPr>
        <w:footnoteReference w:customMarkFollows="0" w:id="20"/>
      </w:r>
      <w:r w:rsidDel="00000000" w:rsidR="00000000" w:rsidRPr="00000000">
        <w:rPr>
          <w:rtl w:val="0"/>
        </w:rPr>
        <w:t xml:space="preserve">. Así, por ejemplo, un sistema de administración de justicia como el chileno, según es fácil demostrarlo demasiado homogéneo en la composición del litigio y regresivo, por tanto, en la distribución del gasto público, puede ser un óptimo en el sentido de Pareto, es decir, una situación social eficiente, aunque puede no serlo desde el punto de vista de óptimos sociales distintos al que define la economía del bienestar y que obliguen, por ejemplo, a mejorar no la cantidad sino las oportunidades de acceso. Lo que enseña ese principio de eficiencia es que, supuesto que la utilidad social es valiosa, algún óptimo de Pareto es indispensable para alcanzar eficientemente cualesquier óptimo social, o sea, que no hay óptimo social posible sin que se alcance un óptimo de Pareto. Es necesario, pues, configurar un cierto óptimo social respecto del cual el óptimo de eficiencia sea un requisito necesario pero no suficiente. Ese óptimo social supone decidir un conjunto de cuestiones para las cuales los aspectos normativos del análisis económico en la medida que no contienen decisiones distributivas resultan inadecuados. Si bien ese óptimo exige decidir un conjunto de cuestiones que he intentado revisar en otro lugar hay una, ante todo, que debe ser tenida en cuenta aquí pues se relaciona estrechamente con el tema que venimos considerando. Se hace necesario definir un valor público básico para hablar como lo haría Arrow y optar por uno de dos objetivos en materia de justicia. Por un lado, el objetivo a alcanzar puede ser definido como el de brindar a los sujetos de derecho la posibilidad de acceder a la tutela judicial. Por otro lado, ese mismo objetivo puede ser definido como la posibilidad de acceder, con el menor costo posible, a un procedimiento efectivo no necesariamente judicial de tutela de los propios derechos. La diferencia entre ambas formas de definir el objetivo de bienestar en estas materias, se aprecia fácilmente al advertir que la primera definición conduce, como objetivo de política pública, a la creación de más tribunales o a la mejora de su eficiencia, en tanto que la segunda definición puede conducir y de hecho ha conducido en el derecho comparado a diversificar las formas de resolución, alentando los mecanismos alternativos, y a desjudicializar el sistema de administración de justicia en su conjunto. Entre esas dos formas de definir los objetivos de una política pública en esta área lo que he llamado el problema del óptimo social creo que hay buenas razones para optar por el segundo objetivo en vez del primero. Es decir, creo que una política de justicia debe tener como objetivo el brindar a los ciudadanos una genuina posibilidad de protección, no necesariamente jurisdiccional, de los propios derechos. En otros términos, me parece a mí que es necesario tender a diseñar y alentar una protección accesible, plural y heterogénea, y no necesariamente jurisdiccional y estatal, de protección de derechos. Varias razones pueden ser esgrimidas en favor de esta definición de política y las más obvias son las que siguen. Por lo pronto, y así ocurriría en Chile a la luz de los indicadores de eficiencia disponibles, la utilidad marginal que se obtiene de la creación de más tribunales es decreciente, es decir, dadas las actuales rutinas de gestión la creación de cada nuevo tribunal resulta, desde el punto de vista de su costo alternativo, más cara. Ello se vería acentuado por el aumento de litigiosidad que suele provocar la creación de tribunales. La razón de esto es que la demanda por justicia es elástica, de manera que la creación de más tribunales provoca en el corto plazo una nueva dilación. Como es sabido, la demora opera como un precio de mercado que regula la tendencia a litigar. Al disminuir el tiempo de espera es decir, al bajar los precios se estimula inevitablemente la congestión. (Lo mismo, aunque de un modo más complejo y que introduce mayor cantidad de variables, es susceptible de explicarse de otra forma utilizando el concepto de “nivel de justicia disponible”. El nivel de justicia disponible explica Urbiztondo</w:t>
      </w:r>
      <w:r w:rsidDel="00000000" w:rsidR="00000000" w:rsidRPr="00000000">
        <w:rPr>
          <w:vertAlign w:val="superscript"/>
        </w:rPr>
        <w:footnoteReference w:customMarkFollows="0" w:id="21"/>
      </w:r>
      <w:r w:rsidDel="00000000" w:rsidR="00000000" w:rsidRPr="00000000">
        <w:rPr>
          <w:rtl w:val="0"/>
        </w:rPr>
        <w:t xml:space="preserve"> es el resultado de la interacción entre la oferta y la demanda de justicia. La oferta de justicia puede aumentar sobre la base de la litigación costo cero o sobre la base de errores judiciales la demanda injustificada y, de esa manera, provocar congestión). Existen, todavía, otras razones. La experiencia muestra que en las sociedades en curso de modernización las pautas de movilidad social se alteran, la subjetividad se exacerba y las soluciones de mercado se generalizan, surgiendo entonces un tipo de contienda y de conflicto como la familiar o el contencioso de masas o la criminalidad de bagatela que requiere, según intentaré demostrarlo luego, soluciones cooperativas y para el cual la solución adversarial provista por la judicatura resulta inadecuada y genera nuevos conflictos</w:t>
      </w:r>
      <w:r w:rsidDel="00000000" w:rsidR="00000000" w:rsidRPr="00000000">
        <w:rPr>
          <w:vertAlign w:val="superscript"/>
        </w:rPr>
        <w:footnoteReference w:customMarkFollows="0" w:id="22"/>
      </w:r>
      <w:r w:rsidDel="00000000" w:rsidR="00000000" w:rsidRPr="00000000">
        <w:rPr>
          <w:rtl w:val="0"/>
        </w:rPr>
        <w:t xml:space="preserve">. Lo mismo ocurre en materia penal. Los procesos de modernización son asimétricos, y suelen, en sociedades duales como las latinoamericanas, provocar marginalidad. El efecto de demostración del mercado y el cambio en las pautas de consumo hace surgir formas de criminalidad de bagatela</w:t>
      </w:r>
      <w:r w:rsidDel="00000000" w:rsidR="00000000" w:rsidRPr="00000000">
        <w:rPr>
          <w:vertAlign w:val="superscript"/>
        </w:rPr>
        <w:footnoteReference w:customMarkFollows="0" w:id="23"/>
      </w:r>
      <w:r w:rsidDel="00000000" w:rsidR="00000000" w:rsidRPr="00000000">
        <w:rPr>
          <w:rtl w:val="0"/>
        </w:rPr>
        <w:t xml:space="preserve"> respecto de las cuales la solución meramente punitiva arriesga el peligro de segregar y provocar nueva marginalidad. En las sociedades modernas que experimentan lo que Charles Taylor ha denominado la ética de la autenticidad</w:t>
      </w:r>
      <w:r w:rsidDel="00000000" w:rsidR="00000000" w:rsidRPr="00000000">
        <w:rPr>
          <w:vertAlign w:val="superscript"/>
        </w:rPr>
        <w:footnoteReference w:customMarkFollows="0" w:id="24"/>
      </w:r>
      <w:r w:rsidDel="00000000" w:rsidR="00000000" w:rsidRPr="00000000">
        <w:rPr>
          <w:rtl w:val="0"/>
        </w:rPr>
        <w:t xml:space="preserve"> el Estado debe proveer de equivalentes funcionales de los grupos primarios o de pertenencia deteriorada y debilitada por la exacerbación de la subjetividad que provocan los procesos de modernización. Paradójicamente, la pérdida de centralidad del estado y el abandono del padrón estatal de desarrollo como camino hacia la modernización de las estructuras económicas y sociales, acrecienta la función del Estado en zonas que, hasta ahora, están entregadas a las estructuras familiares o al vecindario. Esta explosión del litigio que provocan los procesos de modernización económica y social obligan pues a “juridizar” los conflictos y a “desjudicializar” el modo de resolverlos. Así pues no sólo hay razones económicas para alentar el surgimiento de formas alternativas y la estructuración de un sistema plural y heterogéneo de resolución de conflictos. La naturaleza del contencioso y la juridización progresiva de todos los aspectos de la vida obligan a ello. A más de lo anterior, todavía existen razones de justicia distributiva. Como lo explicaré más adelante, al contrario de lo que suelen pensar los abogados, la justicia no constituye, desde el punto de vista económico, un bien público sino un bien privado</w:t>
      </w:r>
      <w:r w:rsidDel="00000000" w:rsidR="00000000" w:rsidRPr="00000000">
        <w:rPr>
          <w:vertAlign w:val="superscript"/>
        </w:rPr>
        <w:footnoteReference w:customMarkFollows="0" w:id="25"/>
      </w:r>
      <w:r w:rsidDel="00000000" w:rsidR="00000000" w:rsidRPr="00000000">
        <w:rPr>
          <w:rtl w:val="0"/>
        </w:rPr>
        <w:t xml:space="preserve">. Se trata de un bien que, al ser consumido o utilizado importa, necesariamente, exclusiones de otros sujetos que, por ese hecho, no pueden ya consumirlo o utilizarlo. Es decir, el uso del sistema de administración de justicia posee externalidades negativas (la exclusión) que se traducen en que los más pobres (los excluidos) subsidian a quienes logran acceder al sistema. Este carácter de los sistemas de administración de justicia permite que quienes acceden al sistema externalicen parte importante de sus costos de litigar en la clase de todos los potenciales litigantes. Pues bien: enfrente de esta característica de los sistemas de administración de justicia se hace necesario instituir mecanismos que permitan que cada litigante internalice buena parte de sus costos de litigar. De esa manera no sólo se introduce una estructura de precios en el litigio permitiendo así que abandone la disputa el que valora menos el bien litigado y provocándose una ganancia social neta sino que se corrigen los efectos regresivos que este fenómeno provoca sobre el gasto. Si bien como lo sugieren los estudios de Capeletti y Garth</w:t>
      </w:r>
      <w:r w:rsidDel="00000000" w:rsidR="00000000" w:rsidRPr="00000000">
        <w:rPr>
          <w:vertAlign w:val="superscript"/>
        </w:rPr>
        <w:footnoteReference w:customMarkFollows="0" w:id="26"/>
      </w:r>
      <w:r w:rsidDel="00000000" w:rsidR="00000000" w:rsidRPr="00000000">
        <w:rPr>
          <w:rtl w:val="0"/>
        </w:rPr>
        <w:t xml:space="preserve">, el sistema de costas puede operar aquí como un sistema correctivo, resulta también de utilidad el arbitraje. El arbitraje, como es obvio, más que un contrato o un equivalente funcional de la jurisdicción consiste, técnicamente hablando, en una privatización de la misma que internaliza en los partícipes del conflicto, los costos de la litigación que, de otro modo, se difundan con graves efectos regresivos, sobre todos los potenciales litigantes</w:t>
      </w:r>
      <w:r w:rsidDel="00000000" w:rsidR="00000000" w:rsidRPr="00000000">
        <w:rPr>
          <w:vertAlign w:val="superscript"/>
        </w:rPr>
        <w:footnoteReference w:customMarkFollows="0" w:id="27"/>
      </w:r>
      <w:r w:rsidDel="00000000" w:rsidR="00000000" w:rsidRPr="00000000">
        <w:rPr>
          <w:rtl w:val="0"/>
        </w:rPr>
        <w:t xml:space="preserve">. </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0">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16"/>
          <w:szCs w:val="16"/>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16"/>
          <w:szCs w:val="16"/>
          <w:u w:val="none"/>
          <w:shd w:fill="auto" w:val="clear"/>
          <w:vertAlign w:val="baseline"/>
          <w:rtl w:val="0"/>
        </w:rPr>
        <w:t xml:space="preserve"> Sobre las funciones sociales de la dogmática jurídica, puede verse Peña, Carlos ¿Qué hacen los civilistas?, en: Estudios de Derecho Civil, Santiago: Cuadernos de Análisis Jurídico, 1993. Vid., también, Peña, Carlos Los desafíos actuales del paradigma del derecho civil, en: Estudios Públicos, Nº 60, Primavera, 1995. </w:t>
      </w:r>
    </w:p>
  </w:footnote>
  <w:footnote w:id="1">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16"/>
          <w:szCs w:val="16"/>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16"/>
          <w:szCs w:val="16"/>
          <w:u w:val="none"/>
          <w:shd w:fill="auto" w:val="clear"/>
          <w:vertAlign w:val="baseline"/>
          <w:rtl w:val="0"/>
        </w:rPr>
        <w:t xml:space="preserve"> Fornaciari, M.A., Modos anormales de terminación del proceso, Buenos Aires: Depalma, 1988, tomo 2, p. 115 y ss.</w:t>
      </w:r>
    </w:p>
  </w:footnote>
  <w:footnote w:id="2">
    <w:p w:rsidR="00000000" w:rsidDel="00000000" w:rsidP="00000000" w:rsidRDefault="00000000" w:rsidRPr="00000000" w14:paraId="00000017">
      <w:pPr>
        <w:spacing w:after="0" w:line="240" w:lineRule="auto"/>
        <w:jc w:val="both"/>
        <w:rPr>
          <w:sz w:val="16"/>
          <w:szCs w:val="16"/>
        </w:rPr>
      </w:pPr>
      <w:r w:rsidDel="00000000" w:rsidR="00000000" w:rsidRPr="00000000">
        <w:rPr>
          <w:rStyle w:val="FootnoteReference"/>
          <w:vertAlign w:val="superscript"/>
        </w:rPr>
        <w:footnoteRef/>
      </w:r>
      <w:r w:rsidDel="00000000" w:rsidR="00000000" w:rsidRPr="00000000">
        <w:rPr>
          <w:sz w:val="16"/>
          <w:szCs w:val="16"/>
          <w:rtl w:val="0"/>
        </w:rPr>
        <w:t xml:space="preserve"> El Concepto de litis en el pensamiento de Francesco Carnelutti, en: Estudios de Derecho Procesal, Buenos Aires, 1961, p. 266.</w:t>
      </w:r>
    </w:p>
  </w:footnote>
  <w:footnote w:id="3">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16"/>
          <w:szCs w:val="16"/>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16"/>
          <w:szCs w:val="16"/>
          <w:u w:val="none"/>
          <w:shd w:fill="auto" w:val="clear"/>
          <w:vertAlign w:val="baseline"/>
          <w:rtl w:val="0"/>
        </w:rPr>
        <w:t xml:space="preserve"> Sistema de Derecho Procesal Civil, Buenos Aires, 1944, p.11.</w:t>
      </w:r>
    </w:p>
  </w:footnote>
  <w:footnote w:id="4">
    <w:p w:rsidR="00000000" w:rsidDel="00000000" w:rsidP="00000000" w:rsidRDefault="00000000" w:rsidRPr="00000000" w14:paraId="00000019">
      <w:pPr>
        <w:spacing w:after="0" w:line="240" w:lineRule="auto"/>
        <w:jc w:val="both"/>
        <w:rPr>
          <w:sz w:val="16"/>
          <w:szCs w:val="16"/>
        </w:rPr>
      </w:pPr>
      <w:r w:rsidDel="00000000" w:rsidR="00000000" w:rsidRPr="00000000">
        <w:rPr>
          <w:rStyle w:val="FootnoteReference"/>
          <w:vertAlign w:val="superscript"/>
        </w:rPr>
        <w:footnoteRef/>
      </w:r>
      <w:r w:rsidDel="00000000" w:rsidR="00000000" w:rsidRPr="00000000">
        <w:rPr>
          <w:sz w:val="16"/>
          <w:szCs w:val="16"/>
          <w:rtl w:val="0"/>
        </w:rPr>
        <w:t xml:space="preserve"> Peña, Carlos, ¿Qué hacen los civilistas?, en: Estudios de Derecho Civil, Santiago: Cuadernos de Análisis Jurídico, Facultad de Derecho de la Universidad Diego Portales, Nº 28, 1994.</w:t>
      </w:r>
    </w:p>
  </w:footnote>
  <w:footnote w:id="5">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16"/>
          <w:szCs w:val="16"/>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16"/>
          <w:szCs w:val="16"/>
          <w:u w:val="none"/>
          <w:shd w:fill="auto" w:val="clear"/>
          <w:vertAlign w:val="superscript"/>
          <w:rtl w:val="0"/>
        </w:rPr>
        <w:t xml:space="preserve"> </w:t>
      </w:r>
      <w:r w:rsidDel="00000000" w:rsidR="00000000" w:rsidRPr="00000000">
        <w:rPr>
          <w:rFonts w:ascii="Calibri" w:cs="Calibri" w:eastAsia="Calibri" w:hAnsi="Calibri"/>
          <w:b w:val="0"/>
          <w:i w:val="0"/>
          <w:smallCaps w:val="0"/>
          <w:strike w:val="0"/>
          <w:color w:val="000000"/>
          <w:sz w:val="16"/>
          <w:szCs w:val="16"/>
          <w:u w:val="none"/>
          <w:shd w:fill="auto" w:val="clear"/>
          <w:vertAlign w:val="baseline"/>
          <w:rtl w:val="0"/>
        </w:rPr>
        <w:t xml:space="preserve">Michel Foucault: La verdad y las formas jurídicas, Gedisa, Barcelona, 1986.</w:t>
      </w:r>
    </w:p>
  </w:footnote>
  <w:footnote w:id="6">
    <w:p w:rsidR="00000000" w:rsidDel="00000000" w:rsidP="00000000" w:rsidRDefault="00000000" w:rsidRPr="00000000" w14:paraId="0000001B">
      <w:pPr>
        <w:spacing w:after="0" w:line="240" w:lineRule="auto"/>
        <w:jc w:val="both"/>
        <w:rPr>
          <w:sz w:val="16"/>
          <w:szCs w:val="16"/>
        </w:rPr>
      </w:pPr>
      <w:r w:rsidDel="00000000" w:rsidR="00000000" w:rsidRPr="00000000">
        <w:rPr>
          <w:rStyle w:val="FootnoteReference"/>
          <w:vertAlign w:val="superscript"/>
        </w:rPr>
        <w:footnoteRef/>
      </w:r>
      <w:r w:rsidDel="00000000" w:rsidR="00000000" w:rsidRPr="00000000">
        <w:rPr>
          <w:sz w:val="16"/>
          <w:szCs w:val="16"/>
          <w:rtl w:val="0"/>
        </w:rPr>
        <w:t xml:space="preserve"> Sobre análisis funcional, puede consultarse: Merton, R. Teoría y Estructura Social, México: F.C.E., 1964, páginas, 29-94; también, Luhmann, Niklas, Sistema y Función, en: Luhmann, N., Sociedad y Sistema: la ambición de una teoría, Barcelona: Paidós, 1990, página 41 y siguientes.</w:t>
      </w:r>
    </w:p>
  </w:footnote>
  <w:footnote w:id="7">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16"/>
          <w:szCs w:val="16"/>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16"/>
          <w:szCs w:val="16"/>
          <w:u w:val="none"/>
          <w:shd w:fill="auto" w:val="clear"/>
          <w:vertAlign w:val="baseline"/>
          <w:rtl w:val="0"/>
        </w:rPr>
        <w:t xml:space="preserve"> Guido Calabresi: El coste de los accidentes, Ariel, Barcelona, 1988.</w:t>
      </w:r>
    </w:p>
  </w:footnote>
  <w:footnote w:id="8">
    <w:p w:rsidR="00000000" w:rsidDel="00000000" w:rsidP="00000000" w:rsidRDefault="00000000" w:rsidRPr="00000000" w14:paraId="0000001D">
      <w:pPr>
        <w:spacing w:after="0" w:line="240" w:lineRule="auto"/>
        <w:jc w:val="both"/>
        <w:rPr>
          <w:sz w:val="16"/>
          <w:szCs w:val="16"/>
        </w:rPr>
      </w:pPr>
      <w:r w:rsidDel="00000000" w:rsidR="00000000" w:rsidRPr="00000000">
        <w:rPr>
          <w:rStyle w:val="FootnoteReference"/>
          <w:vertAlign w:val="superscript"/>
        </w:rPr>
        <w:footnoteRef/>
      </w:r>
      <w:r w:rsidDel="00000000" w:rsidR="00000000" w:rsidRPr="00000000">
        <w:rPr>
          <w:sz w:val="16"/>
          <w:szCs w:val="16"/>
          <w:rtl w:val="0"/>
        </w:rPr>
        <w:t xml:space="preserve"> Cfr. Coase, Ronald, El problema del coste social, en: La empresa, el mercado y la ley, Madrid: Alianza, 1994, páginas 121 y siguientes; vid., también, Nash, C., La teoría de la medición del costo social, en: Haveman (E), Un análisis del gasto y de las políticas gubernamentales, México: F.C.E., 1992, páginas 78-100.</w:t>
      </w:r>
    </w:p>
  </w:footnote>
  <w:footnote w:id="9">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16"/>
          <w:szCs w:val="16"/>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16"/>
          <w:szCs w:val="16"/>
          <w:u w:val="none"/>
          <w:shd w:fill="auto" w:val="clear"/>
          <w:vertAlign w:val="baseline"/>
          <w:rtl w:val="0"/>
        </w:rPr>
        <w:t xml:space="preserve"> Inmanuel Kant: La crítica de la razón práctica, Losada, Buenos Aires, 1990.</w:t>
      </w:r>
    </w:p>
  </w:footnote>
  <w:footnote w:id="10">
    <w:p w:rsidR="00000000" w:rsidDel="00000000" w:rsidP="00000000" w:rsidRDefault="00000000" w:rsidRPr="00000000" w14:paraId="0000001F">
      <w:pPr>
        <w:spacing w:after="0" w:line="240" w:lineRule="auto"/>
        <w:jc w:val="both"/>
        <w:rPr>
          <w:sz w:val="16"/>
          <w:szCs w:val="16"/>
        </w:rPr>
      </w:pPr>
      <w:r w:rsidDel="00000000" w:rsidR="00000000" w:rsidRPr="00000000">
        <w:rPr>
          <w:rStyle w:val="FootnoteReference"/>
          <w:vertAlign w:val="superscript"/>
        </w:rPr>
        <w:footnoteRef/>
      </w:r>
      <w:r w:rsidDel="00000000" w:rsidR="00000000" w:rsidRPr="00000000">
        <w:rPr>
          <w:sz w:val="16"/>
          <w:szCs w:val="16"/>
          <w:rtl w:val="0"/>
        </w:rPr>
        <w:t xml:space="preserve"> Esa fórmula, como es sabido, pertenece a Weber, M. La política como vocación, en: El político y el científico, Madrid: Alianza, 1980, p. 89.</w:t>
      </w:r>
    </w:p>
  </w:footnote>
  <w:footnote w:id="11">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16"/>
          <w:szCs w:val="16"/>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16"/>
          <w:szCs w:val="16"/>
          <w:u w:val="none"/>
          <w:shd w:fill="auto" w:val="clear"/>
          <w:vertAlign w:val="baseline"/>
          <w:rtl w:val="0"/>
        </w:rPr>
        <w:t xml:space="preserve"> Cfr. Sen, A., Elección Colectiva y Bienestar Social, Madrid: Alianza, 1976.</w:t>
      </w:r>
    </w:p>
  </w:footnote>
  <w:footnote w:id="12">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16"/>
          <w:szCs w:val="16"/>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16"/>
          <w:szCs w:val="16"/>
          <w:u w:val="none"/>
          <w:shd w:fill="auto" w:val="clear"/>
          <w:vertAlign w:val="baseline"/>
          <w:rtl w:val="0"/>
        </w:rPr>
        <w:t xml:space="preserve"> Jon Elster: Tuercas y tornillos, Barcelona: Gedisa, 1988, p. 23.</w:t>
      </w:r>
    </w:p>
  </w:footnote>
  <w:footnote w:id="13">
    <w:p w:rsidR="00000000" w:rsidDel="00000000" w:rsidP="00000000" w:rsidRDefault="00000000" w:rsidRPr="00000000" w14:paraId="00000022">
      <w:pPr>
        <w:spacing w:after="0" w:line="240" w:lineRule="auto"/>
        <w:jc w:val="both"/>
        <w:rPr>
          <w:sz w:val="16"/>
          <w:szCs w:val="16"/>
        </w:rPr>
      </w:pPr>
      <w:r w:rsidDel="00000000" w:rsidR="00000000" w:rsidRPr="00000000">
        <w:rPr>
          <w:rStyle w:val="FootnoteReference"/>
          <w:vertAlign w:val="superscript"/>
        </w:rPr>
        <w:footnoteRef/>
      </w:r>
      <w:r w:rsidDel="00000000" w:rsidR="00000000" w:rsidRPr="00000000">
        <w:rPr>
          <w:sz w:val="16"/>
          <w:szCs w:val="16"/>
          <w:rtl w:val="0"/>
        </w:rPr>
        <w:t xml:space="preserve"> Instituciones, cambio institucional y desempeño económico, Buenos Aires: F.C.E., 1993, p. 31.</w:t>
      </w:r>
    </w:p>
  </w:footnote>
  <w:footnote w:id="14">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16"/>
          <w:szCs w:val="16"/>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16"/>
          <w:szCs w:val="16"/>
          <w:u w:val="none"/>
          <w:shd w:fill="auto" w:val="clear"/>
          <w:vertAlign w:val="baseline"/>
          <w:rtl w:val="0"/>
        </w:rPr>
        <w:t xml:space="preserve"> Hahn, Filosofía y Teoría Económica, México: F.C.E., 1986, página 14.</w:t>
      </w:r>
    </w:p>
  </w:footnote>
  <w:footnote w:id="15">
    <w:p w:rsidR="00000000" w:rsidDel="00000000" w:rsidP="00000000" w:rsidRDefault="00000000" w:rsidRPr="00000000" w14:paraId="00000024">
      <w:pPr>
        <w:spacing w:after="0" w:line="240" w:lineRule="auto"/>
        <w:jc w:val="both"/>
        <w:rPr>
          <w:sz w:val="16"/>
          <w:szCs w:val="16"/>
        </w:rPr>
      </w:pPr>
      <w:r w:rsidDel="00000000" w:rsidR="00000000" w:rsidRPr="00000000">
        <w:rPr>
          <w:rStyle w:val="FootnoteReference"/>
          <w:vertAlign w:val="superscript"/>
        </w:rPr>
        <w:footnoteRef/>
      </w:r>
      <w:r w:rsidDel="00000000" w:rsidR="00000000" w:rsidRPr="00000000">
        <w:rPr>
          <w:sz w:val="16"/>
          <w:szCs w:val="16"/>
          <w:rtl w:val="0"/>
        </w:rPr>
        <w:t xml:space="preserve"> Arrow, K., Los valores y la toma de decisiones colectiva, en: Filosofía y Teoría Económica, ob. cit., p. 218.</w:t>
      </w:r>
    </w:p>
  </w:footnote>
  <w:footnote w:id="16">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16"/>
          <w:szCs w:val="16"/>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16"/>
          <w:szCs w:val="16"/>
          <w:u w:val="none"/>
          <w:shd w:fill="auto" w:val="clear"/>
          <w:vertAlign w:val="baseline"/>
          <w:rtl w:val="0"/>
        </w:rPr>
        <w:t xml:space="preserve"> Ob. cit., p. 229.</w:t>
      </w:r>
    </w:p>
  </w:footnote>
  <w:footnote w:id="17">
    <w:p w:rsidR="00000000" w:rsidDel="00000000" w:rsidP="00000000" w:rsidRDefault="00000000" w:rsidRPr="00000000" w14:paraId="00000026">
      <w:pPr>
        <w:spacing w:after="0" w:line="240" w:lineRule="auto"/>
        <w:jc w:val="both"/>
        <w:rPr>
          <w:sz w:val="16"/>
          <w:szCs w:val="16"/>
        </w:rPr>
      </w:pPr>
      <w:r w:rsidDel="00000000" w:rsidR="00000000" w:rsidRPr="00000000">
        <w:rPr>
          <w:rStyle w:val="FootnoteReference"/>
          <w:vertAlign w:val="superscript"/>
        </w:rPr>
        <w:footnoteRef/>
      </w:r>
      <w:r w:rsidDel="00000000" w:rsidR="00000000" w:rsidRPr="00000000">
        <w:rPr>
          <w:sz w:val="16"/>
          <w:szCs w:val="16"/>
          <w:rtl w:val="0"/>
        </w:rPr>
        <w:t xml:space="preserve"> Cfr. Arrow, K. y Scitovsky, La economía del bienestar, México: F.C.E., 1974 (dos volúmenes); para un análisis crítico debe consultarse, Sen, A., Sobre Ética y Economía, Madrid: Alianza, 1989, p. 49.</w:t>
      </w:r>
    </w:p>
  </w:footnote>
  <w:footnote w:id="18">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16"/>
          <w:szCs w:val="16"/>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16"/>
          <w:szCs w:val="16"/>
          <w:u w:val="none"/>
          <w:shd w:fill="auto" w:val="clear"/>
          <w:vertAlign w:val="baseline"/>
          <w:rtl w:val="0"/>
        </w:rPr>
        <w:t xml:space="preserve"> John Rawls: Teoría de la justicia, pág. 87 y sgtes. Fondo de Cultura Económica, México, 1992.</w:t>
      </w:r>
    </w:p>
  </w:footnote>
  <w:footnote w:id="19">
    <w:p w:rsidR="00000000" w:rsidDel="00000000" w:rsidP="00000000" w:rsidRDefault="00000000" w:rsidRPr="00000000" w14:paraId="00000028">
      <w:pPr>
        <w:spacing w:after="0" w:line="240" w:lineRule="auto"/>
        <w:jc w:val="both"/>
        <w:rPr>
          <w:sz w:val="16"/>
          <w:szCs w:val="16"/>
        </w:rPr>
      </w:pPr>
      <w:r w:rsidDel="00000000" w:rsidR="00000000" w:rsidRPr="00000000">
        <w:rPr>
          <w:rStyle w:val="FootnoteReference"/>
          <w:vertAlign w:val="superscript"/>
        </w:rPr>
        <w:footnoteRef/>
      </w:r>
      <w:r w:rsidDel="00000000" w:rsidR="00000000" w:rsidRPr="00000000">
        <w:rPr>
          <w:sz w:val="16"/>
          <w:szCs w:val="16"/>
          <w:rtl w:val="0"/>
        </w:rPr>
        <w:t xml:space="preserve"> James Buchanan y A. Tullock: El cálculo del consenso. Fundamentos lógicos de la democracia constitucional, Espasa-Calpe, Madrid, 1980.</w:t>
      </w:r>
    </w:p>
  </w:footnote>
  <w:footnote w:id="20">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16"/>
          <w:szCs w:val="16"/>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16"/>
          <w:szCs w:val="16"/>
          <w:u w:val="none"/>
          <w:shd w:fill="auto" w:val="clear"/>
          <w:vertAlign w:val="baseline"/>
          <w:rtl w:val="0"/>
        </w:rPr>
        <w:t xml:space="preserve"> Cfr. Sen, A., ob. cit., p. 50.</w:t>
      </w:r>
    </w:p>
  </w:footnote>
  <w:footnote w:id="21">
    <w:p w:rsidR="00000000" w:rsidDel="00000000" w:rsidP="00000000" w:rsidRDefault="00000000" w:rsidRPr="00000000" w14:paraId="0000002A">
      <w:pPr>
        <w:spacing w:after="0" w:line="240" w:lineRule="auto"/>
        <w:jc w:val="both"/>
        <w:rPr>
          <w:rFonts w:ascii="Times New Roman" w:cs="Times New Roman" w:eastAsia="Times New Roman" w:hAnsi="Times New Roman"/>
          <w:sz w:val="16"/>
          <w:szCs w:val="16"/>
        </w:rPr>
      </w:pPr>
      <w:r w:rsidDel="00000000" w:rsidR="00000000" w:rsidRPr="00000000">
        <w:rPr>
          <w:rStyle w:val="FootnoteReference"/>
          <w:vertAlign w:val="superscript"/>
        </w:rPr>
        <w:footnoteRef/>
      </w:r>
      <w:r w:rsidDel="00000000" w:rsidR="00000000" w:rsidRPr="00000000">
        <w:rPr>
          <w:rtl w:val="0"/>
        </w:rPr>
        <w:t xml:space="preserve"> </w:t>
      </w:r>
      <w:r w:rsidDel="00000000" w:rsidR="00000000" w:rsidRPr="00000000">
        <w:rPr>
          <w:rFonts w:ascii="Times New Roman" w:cs="Times New Roman" w:eastAsia="Times New Roman" w:hAnsi="Times New Roman"/>
          <w:sz w:val="16"/>
          <w:szCs w:val="16"/>
          <w:rtl w:val="0"/>
        </w:rPr>
        <w:t xml:space="preserve">El análisis económico de la administración judicial (mimeo, borrador), Buenos Aires, 1994.</w:t>
      </w:r>
    </w:p>
  </w:footnote>
  <w:footnote w:id="22">
    <w:p w:rsidR="00000000" w:rsidDel="00000000" w:rsidP="00000000" w:rsidRDefault="00000000" w:rsidRPr="00000000" w14:paraId="0000002B">
      <w:pPr>
        <w:spacing w:after="0" w:line="240" w:lineRule="auto"/>
        <w:jc w:val="both"/>
        <w:rPr>
          <w:rFonts w:ascii="Times New Roman" w:cs="Times New Roman" w:eastAsia="Times New Roman" w:hAnsi="Times New Roman"/>
          <w:sz w:val="16"/>
          <w:szCs w:val="16"/>
        </w:rPr>
      </w:pPr>
      <w:r w:rsidDel="00000000" w:rsidR="00000000" w:rsidRPr="00000000">
        <w:rPr>
          <w:rStyle w:val="FootnoteReference"/>
          <w:vertAlign w:val="superscript"/>
        </w:rPr>
        <w:footnoteRef/>
      </w:r>
      <w:r w:rsidDel="00000000" w:rsidR="00000000" w:rsidRPr="00000000">
        <w:rPr>
          <w:rtl w:val="0"/>
        </w:rPr>
        <w:t xml:space="preserve"> </w:t>
      </w:r>
      <w:r w:rsidDel="00000000" w:rsidR="00000000" w:rsidRPr="00000000">
        <w:rPr>
          <w:rFonts w:ascii="Times New Roman" w:cs="Times New Roman" w:eastAsia="Times New Roman" w:hAnsi="Times New Roman"/>
          <w:sz w:val="16"/>
          <w:szCs w:val="16"/>
          <w:rtl w:val="0"/>
        </w:rPr>
        <w:t xml:space="preserve">Aisenson, A., Resolución de conflictos: un enfoque psicosociológico, México: F.C.E., 1994, página 17 y siguientes.</w:t>
      </w:r>
    </w:p>
  </w:footnote>
  <w:footnote w:id="23">
    <w:p w:rsidR="00000000" w:rsidDel="00000000" w:rsidP="00000000" w:rsidRDefault="00000000" w:rsidRPr="00000000" w14:paraId="0000002C">
      <w:pPr>
        <w:spacing w:after="0" w:line="240" w:lineRule="auto"/>
        <w:jc w:val="both"/>
        <w:rPr>
          <w:sz w:val="16"/>
          <w:szCs w:val="16"/>
        </w:rPr>
      </w:pPr>
      <w:r w:rsidDel="00000000" w:rsidR="00000000" w:rsidRPr="00000000">
        <w:rPr>
          <w:rStyle w:val="FootnoteReference"/>
          <w:vertAlign w:val="superscript"/>
        </w:rPr>
        <w:footnoteRef/>
      </w:r>
      <w:r w:rsidDel="00000000" w:rsidR="00000000" w:rsidRPr="00000000">
        <w:rPr>
          <w:sz w:val="16"/>
          <w:szCs w:val="16"/>
          <w:rtl w:val="0"/>
        </w:rPr>
        <w:t xml:space="preserve"> Cfr. Armenta Deu, T. Criminalidad de bagatela y principio de oportunidad, Barcelona: PPU, 1991.</w:t>
      </w:r>
    </w:p>
  </w:footnote>
  <w:footnote w:id="24">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16"/>
          <w:szCs w:val="16"/>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16"/>
          <w:szCs w:val="16"/>
          <w:u w:val="none"/>
          <w:shd w:fill="auto" w:val="clear"/>
          <w:vertAlign w:val="baseline"/>
          <w:rtl w:val="0"/>
        </w:rPr>
        <w:t xml:space="preserve"> Ética de la autenticidad, Barcelona: Paidós, 1994.</w:t>
      </w:r>
    </w:p>
  </w:footnote>
  <w:footnote w:id="25">
    <w:p w:rsidR="00000000" w:rsidDel="00000000" w:rsidP="00000000" w:rsidRDefault="00000000" w:rsidRPr="00000000" w14:paraId="0000002E">
      <w:pPr>
        <w:spacing w:after="0" w:line="240" w:lineRule="auto"/>
        <w:jc w:val="both"/>
        <w:rPr>
          <w:sz w:val="16"/>
          <w:szCs w:val="16"/>
        </w:rPr>
      </w:pPr>
      <w:bookmarkStart w:colFirst="0" w:colLast="0" w:name="_heading=h.gjdgxs" w:id="3"/>
      <w:bookmarkEnd w:id="3"/>
      <w:r w:rsidDel="00000000" w:rsidR="00000000" w:rsidRPr="00000000">
        <w:rPr>
          <w:rStyle w:val="FootnoteReference"/>
          <w:vertAlign w:val="superscript"/>
        </w:rPr>
        <w:footnoteRef/>
      </w:r>
      <w:r w:rsidDel="00000000" w:rsidR="00000000" w:rsidRPr="00000000">
        <w:rPr>
          <w:sz w:val="16"/>
          <w:szCs w:val="16"/>
          <w:rtl w:val="0"/>
        </w:rPr>
        <w:t xml:space="preserve"> Due, John y Friedla, Análisis Económico de los Impuestos y del Sector Público, Madrid: Editorial de Derecho Financiero, 1990, p.31.</w:t>
      </w:r>
    </w:p>
  </w:footnote>
  <w:footnote w:id="26">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Calibri" w:cs="Calibri" w:eastAsia="Calibri" w:hAnsi="Calibri"/>
          <w:b w:val="0"/>
          <w:i w:val="0"/>
          <w:smallCaps w:val="0"/>
          <w:strike w:val="0"/>
          <w:color w:val="000000"/>
          <w:sz w:val="16"/>
          <w:szCs w:val="16"/>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16"/>
          <w:szCs w:val="16"/>
          <w:u w:val="none"/>
          <w:shd w:fill="auto" w:val="clear"/>
          <w:vertAlign w:val="baseline"/>
          <w:rtl w:val="0"/>
        </w:rPr>
        <w:t xml:space="preserve"> Access to Justice and the Welfare State, Bruyland- Le Monnier, 1981.</w:t>
      </w:r>
    </w:p>
  </w:footnote>
  <w:footnote w:id="27">
    <w:p w:rsidR="00000000" w:rsidDel="00000000" w:rsidP="00000000" w:rsidRDefault="00000000" w:rsidRPr="00000000" w14:paraId="00000030">
      <w:pPr>
        <w:spacing w:after="0" w:line="240" w:lineRule="auto"/>
        <w:jc w:val="both"/>
        <w:rPr>
          <w:sz w:val="16"/>
          <w:szCs w:val="16"/>
        </w:rPr>
      </w:pPr>
      <w:r w:rsidDel="00000000" w:rsidR="00000000" w:rsidRPr="00000000">
        <w:rPr>
          <w:rStyle w:val="FootnoteReference"/>
          <w:vertAlign w:val="superscript"/>
        </w:rPr>
        <w:footnoteRef/>
      </w:r>
      <w:r w:rsidDel="00000000" w:rsidR="00000000" w:rsidRPr="00000000">
        <w:rPr>
          <w:sz w:val="16"/>
          <w:szCs w:val="16"/>
          <w:rtl w:val="0"/>
        </w:rPr>
        <w:t xml:space="preserve"> He dejado ex profeso pendientes algunas cuestiones. En primer lugar, resulta imprescindible confrontar la definición de política defendida en el texto con el “derecho al libre acceso a la jurisdicción” incluido en el derecho internacional de los derechos humanos y recogido en algunos instrumentos vigentes en Chile como, vgr., la Convención Americana o el Pacto de Derechos Civiles y Políticos. En segundo lugar, no he considerado tampoco las condiciones que en un sistema legal cualesquiera alientan o desalientan la propensión al litigio y que puede ser abordada extrapolando algunas de las tesis sostenidas en el área de la “economía del crimen” (donde, por ejemplo, Becker ha sostenido que la tasa de beneficio de cometer un crimen es el valor de los efectos del delito en relación a la pena esperada dividida por la probabilidad de que se imponga). En tercer lugar no he considerado, aún, la utilización de un sistema de tasas judiciales como parte de una política de justicia que regule la propensión a litigar. En cuarto lugar y supuesto que sea necesario promover formas alternativas es imprescindible examinar el sistema de incentivos en el que ella se desenvuelve y el surgimiento de intereses corporativos en su derredor.</w:t>
      </w:r>
    </w:p>
  </w:footnote>
</w:footnote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line="276" w:lineRule="auto"/>
      <w:ind w:left="284"/>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D61644"/>
    <w:pPr>
      <w:ind w:left="720"/>
      <w:contextualSpacing w:val="1"/>
    </w:pPr>
  </w:style>
  <w:style w:type="paragraph" w:styleId="Textonotapie">
    <w:name w:val="footnote text"/>
    <w:basedOn w:val="Normal"/>
    <w:link w:val="TextonotapieCar"/>
    <w:uiPriority w:val="99"/>
    <w:semiHidden w:val="1"/>
    <w:unhideWhenUsed w:val="1"/>
    <w:rsid w:val="00D61644"/>
    <w:pPr>
      <w:spacing w:after="0" w:line="240" w:lineRule="auto"/>
    </w:pPr>
    <w:rPr>
      <w:sz w:val="20"/>
      <w:szCs w:val="20"/>
    </w:rPr>
  </w:style>
  <w:style w:type="character" w:styleId="TextonotapieCar" w:customStyle="1">
    <w:name w:val="Texto nota pie Car"/>
    <w:basedOn w:val="Fuentedeprrafopredeter"/>
    <w:link w:val="Textonotapie"/>
    <w:uiPriority w:val="99"/>
    <w:semiHidden w:val="1"/>
    <w:rsid w:val="00D61644"/>
    <w:rPr>
      <w:sz w:val="20"/>
      <w:szCs w:val="20"/>
    </w:rPr>
  </w:style>
  <w:style w:type="character" w:styleId="Refdenotaalpie">
    <w:name w:val="footnote reference"/>
    <w:basedOn w:val="Fuentedeprrafopredeter"/>
    <w:uiPriority w:val="99"/>
    <w:semiHidden w:val="1"/>
    <w:unhideWhenUsed w:val="1"/>
    <w:rsid w:val="00D61644"/>
    <w:rPr>
      <w:vertAlign w:val="superscri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hyperlink" Target="https://www.palermo.edu/derecho/publicaciones/pdfs/revista_juridica/n2N1y2-Abril1997/02%201y2Juridica06.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fqmL2G4Z59qfhhIJFH89EV0sV6Q==">CgMxLjAyDmgua2kzcHA1ZXo2dHFkMg5oLm8ycG9lcDR2NWNkNjIOaC50NXdubHV3N3hybnMyCGguZ2pkZ3hzOAByITFwSDFPeUttandKT0JxR3RvZUdDSmRaVnFVWG9qZlEtZA==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2019-05-13T20:24:00Z</dcterms:created>
  <dc:creator>José Antonio Castro Chumpitaz</dc:creator>
</cp:coreProperties>
</file>