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r00l6l9jtopx" w:id="0"/>
      <w:bookmarkEnd w:id="0"/>
      <w:r w:rsidDel="00000000" w:rsidR="00000000" w:rsidRPr="00000000">
        <w:rPr>
          <w:rtl w:val="0"/>
        </w:rPr>
        <w:t xml:space="preserve">Tribunal de defensa de la competencia y de la propiedad intelectual. (2021). Resolución N°. 80-2021/CLC-INDECOPI del 15 de noviembre de 2021. Los descargos a la Resolución de Inicio presentados por las personas jurídicas y naturales investigadas, los escritos presentados durante la fase probatoria, el Informe Técnico 019-2021/ST-CLC-INDECOPI del 2 de marzo de 2021.</w:t>
      </w:r>
    </w:p>
    <w:p w:rsidR="00000000" w:rsidDel="00000000" w:rsidP="00000000" w:rsidRDefault="00000000" w:rsidRPr="00000000" w14:paraId="00000002">
      <w:pPr>
        <w:widowControl w:val="0"/>
        <w:spacing w:after="0" w:line="360" w:lineRule="auto"/>
        <w:jc w:val="both"/>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Inicio de pág.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15 de noviembre de 2021 </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VISTOS: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La Resolución 003-2020/ST-CLC-INDECOPI del 31 de enero de 2020 (en adelante, la Resolución de Inicio), los descargos a la Resolución de Inicio presentados por las personas jurídicas y naturales investigadas, los escritos presentados durante la fase probatoria, el Informe Técnico 019-2021/ST-CLC-INDECOPI del 2 de marzo de 2021 (en adelante, el Informe Técnico), los escritos de alegatos al Informe Técnico, la audiencia virtual de Informe Oral llevada a cabo los días 26, 27 y 28 de mayo de 2021, los escritos presentados durante la nueva fase probatoria, la audiencia virtual de Informe Oral llevada a cabo los días 5 y 6 de octubre de 2021, los alegatos finales, y las demás actuaciones del procedimiento.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1. Como parte de sus actividades de detección de posibles conductas anticompetitivas en el territorio nacional, entre julio de 2017 y diciembre de 2019, la Secretaría Técnica de la Comisión de Defensa de la Libre Competencia -actualmente denominada Dirección Nacional de Investigación y Promoción de la Libre Competencia - (en adelante, la Secretaría Técnica o la Dirección) realizó una serie de visitas de inspección sin previa notificación en las oficinas de las siguientes empresas: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Cuadro 1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Visitas de inspección realizadas por la Secretaría Técnica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N°</w:t>
        <w:tab/>
        <w:t xml:space="preserve">/ FECHA </w:t>
        <w:tab/>
        <w:t xml:space="preserve">/N° DE CARTA</w:t>
        <w:tab/>
        <w:t xml:space="preserve">/ DESTINATARIO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1. 10/04/2019 17/04/2019 -CARTA 660-2019/ST-CLC-INDECOPI -CARTA 675-2019/ST-CLC-INDECOPI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-Altesa Contratistas Generales S.A. (en adelante, Altesa)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2. 11/07/2017 17/07/2017 21/07/2017 15/11/2019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-CARTA 381-2017/ST-CLC-INDECOPI -CARTA 417-2017/ST-CLC-INDECOPI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-CARTA 453-2017/ST-CLC-INDECOPI -CARTA 1809-2019/ST-CLC-INDECOPI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Andrade Gutiérrez Engenharta S/A. Sucursal del Perú (en adelante, Andrade Gutiérrez Sucursal)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3. 09/04/2019 CARTA 659-2019/ST-CLC-INDECOPI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Aramayo S.A.C. Contratistas Generales (en adelante, Aramsa)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4. 07/05/2019 14/05/2019 -CARTA 708-2019/ST-CLC-INDECOPI -CARTA 867-2019/ST-CLC-INDECOPI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Conalvías Construcciones S.A.C. (antes, Conalvías Construcciones S.A.S. Sucursal Perú - en adelante, Conalvías) 5. 13/07/2017 14/08/2017 -CARTA 395-2017/ST-CLC-INDECOPI -CARTA 598-2017/ST-CLC-INDECOPI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Construcción y Administración S.A. (en adelante, CASA)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6. 09/05/2019 -CARTA 856-2019/ST-CLC-INDECOPI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Construcciones Civiles S.A. Sucursal Perú (en adelante, Conciviles Sucursal)</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7. 11/07/2017 -CARTA 385-2017/ST-CLC-INDECOPI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Sucursal Perú (en adelante, Camargo Correa Sucursal)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8. 13/07/2017 11/04/2019 -CARTA 396-2017/ST-CLC-INDECOPI CARTA 670-2019/ST-CLC-INDECOPI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Constructora Málaga Hnos. S.A. (en adelante, Constructora Málaga)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9. 11/07/2017 -CARTA 377-2017/ST-CLC-INDECOPI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Constructora Norberto Odebrecht S.A. Sucursal Perú2 (en adelante, Odebrecht Sucursal)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10. 17/07/2017 23/08/2019 -CARTA 406-2017/ST-CLC-INDECOPI CARTA 1419-2019/ST-CLC-INDECOPI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Constructora TP S.A.C. (antes C. Tizón P. S.A.C. - en adelante, Constructora TP)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Obrascon Huarte Lain S.A. Sucursal del Perú (en adelante, OHL Sucursal)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11. 18/07/2017 -CARTA 421-2017/ST-CLC-INDECOPI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Constructora Upacá S.A. (en adelante, Upacá)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12. 09/05/2019 -CARTA 857-2019/ST-CLC-lNDECOPI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Constructores y Mineros Contratistas Generales S.A.C. (en adelante, CyM)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13. 11/07/2017 11/07/2017 -CARTA 378-2017/ST-CLC-INDECOPI CARTA 392-2017/ST-CLC-INDECOPI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Construtora OAS S.A. Sucursal del Perú (Antes Construtora OAS Ltda. Sucursal del Perú - en adelante, OAS Sucursal)</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14. 11/07/2017 15/11/2019 -CARTA 382-2017/ST-CLC-INDECOPI -CARTA 1810-2019/ST-CLC-INDECOPI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Construtora Queiroz Galvao S.A. Sucursal de! Perú (en adelante, Queiroz Galvao Sucursal)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15. 11/07/2017 06/12/2019 -CARTA 1859-2019/ST-CLC-INDECOPI  -CARTA 384-2017/ST-CLC INDECOPI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Cosapi S.A. (en adelante, Cosapi)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16. 10/04/2019 -CARTA 661-2019/ST-CLC-INDECOPIE.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Reyna C. S.A.C. Contratistas Generales3 (en adelante, E. Reyna)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17. 08/05/2019 -CARTA 715-2019/ST-CLC-INDECOPI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Elvi S.A.C. (en adelante, Eivisac)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18. 07/05/2019 -CARTA 709-2019/ST-CLC-INDECOPI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Energoprojekt Nískogradnja S.A. Sucursal del Perú (en adelante, Energoprojekt Sucursal)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19. 11/07/2017 11/07/2017 -CARTA 380-2017/ST-CLC-INDECOPI -CARTA 393-2017/ST-CLC-INDECOPI CARTA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Grana y Montero S.A.A. GyM S.A.4 (en adelante, GyM)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20. 11/07/2017 15/11/2019 -CARTA 387-2017/ST-CLC-INDECOPI-CARTA 391-2017/ST-CLC-INDECOPI</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 CARTA 1811-2019/ST-CLC-INDECOPI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Ingenieros Civiles y Contratistas Generales S.A.  (en adelante, Iccgsa)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21. 07/05/2019 -CARTA 711-2019/ST-CLC-INDECOPI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J.C. Contratistas Generales E.I.R.L. (en adelante, JCCG)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22. 11/07/2017 CARTA 383-2017/ST-CLC-INDECOPI JJC Contratistas Generales S.A. (en adelante JJC)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23. 11/07/2017 17/07/2017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-CARTA 389-2017/ST-CLC-INDECOPI -CARTA 405-2017/ST-CLC-INDECOPI Johe S.A. (en adelante, Johesa)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24. 07/05/2019 CARTA 712-2019/ST-CLC-INDECOPI Montes Hnos. S.R.L. (en adelante, Montes Hnos)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25. 11/07/2017 CARTA 379-2017/ST-CLC-INDECOPI Obras de Ingeniería S.A.C (en adelante, Obrainsa)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26. 08/05/2019 23/05/2019 -CARTA 713-2019/ST-CLC-INDECOPI CARTA 875-2019/ST-CLC-INDECOPI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San Martín Contratistas Generales S.A. (en adelante, San Martín)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27. 09/04/2019 CARTA 658-2019/ST-CLC-INDECOPI Superconcreto del Perú S.A.5 (en adelante, Superconcreto)</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Estas diligencias fueron ejecutadas con la finalidad de obtener información sobre las características y el funcionamiento del mercado de obras públicas de infraestructura realizadas a través de procedimientos de contratación con el Estado, así como respecto a la posible ejecución de prácticas colusorias horizontales bajo las siguientes modalidades: (i) fijación concertada, de forma directa o indirecta, de precios o de otras condiciones comerciales o de servicios; y, (¡i) coordinación de ofertas, posturas o propuestas o abstención de estas en licitaciones o concursos públicos o privados u otras formas de contratación o adquisición pública previstas en la legislación pertinente. Cabe precisar que, en el transcurso de dichas visitas, las empresas inspeccionadas proporcionaron a la Secretaría Técnica una serie de correos electrónicos relacionados con el mercado investigado, entre otra documentación.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2. Mediante Cartas 1055 a 1706-2019/ST-CLC-INDECOPI8, la Secretaría Técnica informó a las empresas y personas naturales de su condición de investigados, solicitándoles la fijación de un domicilio procesal.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3. Asimismo, mediante Oficios 018 y 044-2019/ST-CLC-Indecopi del 27 de marzo y 5 de junio de 2019, respectivamente, la Secretaría Técnica solicitó al Organismo Supervisor de las Contrataciones del Estado (en adelante, OSCE) información sobre series estadísticas de procesos de selección convocados por Provías Nacional entre 2004 y 2018.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Dicho requerimiento fue atendido por el OSCE mediante Oficios D000850-2019- OSCE-SGE y D001249-2019-OSCE-SGE del 10 de mayo y 25 de junio de 2019.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4. De modo complementario, entre julio y diciembre de 20 1 97 la Secretaría Técnica formuló múltiples requerimientos de información a Altesa, Andrade Gutiérrez Engenharia S/A. (en adelante, Andrade Gutiérrez Matriz), Andrade Gutiérrez Sucursal, Aramsa, Conalvías, CASA, Construcciones Civiles S.A. (en adelante, Conciviles Matriz), Conciviles Sucursal, Construcoes e Comercio Camargo Correa S.A. (en adelante, Camargo Correa Matriz), Camargo Correa Sucursal, Constructora Málaga, Constructora Norberto Odebrecht S.A. (en adelante, Odebrecht Matriz), Odebrecht Sucursal, Odebrecht Perú Ingeniería y Construcción S.A.C. (en adelante, Odebrecht Perú), Constructora TP, Obrascon Huarte Lain S.A. (en adelante, OHL Matriz), OHL Sucursal, Upacá, CyM, Construtora OAS S.A. (en adelante, OAS Matriz), OAS Sucursal, Construtora Queiroz Galvao S.A. (en adelante, Queiroz Galvao Matriz), Queiroz Galvao Sucursal, Cosapí, E. Reyna, Eivisac, Energoprojekt Niskogradnja S.A. (en adelante, Energoprojekt Matriz), Energoprojekt Sucursal, GyM, Grupo Plaza S.A. (en adelante, Grupo Plaza), Iccgsa, J. Alva Centurión Contratistas S.A.C. (en adelante, Jaccsa), JCCG, JJC, Johesa, Montes Hnos, Mota-Engil Engenharia e Construgao S.A. (en adelante, Mota Engil Matriz), Mota-Engil Engenharia e Construcao S.A. Sucursal Perú (en  adelante, Mota Engil Sucursal), Mota Engil Perú, Obrainsa, San Martín, Superconcreto y T y T S.A.C. Contratistas Generales (en adelante, TyT). de buena fe y correcta conducta procedimental previstas por la legislación administrativas.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En particular, afirmar sin mayor prueba o fundamento que la Secretaría Técnica y la Comisión han realizado sesiones en las cuales la Comisión ha influido indebidamente en las funciones exclusivas de la Secretaría Técnica y viceversa, formando “un proceso de entendimiento mutuo y concertación de criterios e interpretaciones de los hechos y pruebas1’, da cuenta de una actitud indebida e inadmisible que excede del ejercicio regular de su derecho de defensa y que, al plantear alegaciones ostensiblemente falsas, son contrarias al principio de buena fe procedimental.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900. Por lo expuesto, no encontrándose fundamento jurídico ni sustento material en las afirmaciones de CASA sobre la vulneración del principio de imparcialidad y sobre la falta de independencia de esta Comisión en la emisión de la presente decisión, corresponde desestimar los argumentos planteados por dicha administrada en este extremo.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VI. DESCRIPCIÓN DE LOS PROCESOS DE SELECCIÓN INVESTIGADOS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901. En la presente sección, se proporciona un mayor alcance sobre los procesos de selección investigados. En particular, se detallan: (i) las principales características, (i¡) las principales disposiciones normativas en el marco de las convocatorias y (iii)  la demanda y oferta de estos procesos.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6.1. Principales características de los procesos de selección investigados Niveles de intervención de los procesos de selección investigados: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902. Los procesos de selección investigados corresponden a aquellos proyectos de infraestructura vial en el sector transporte542. En particular, a aquellos procesos de selección convocados por el Estado - principalmente, por Provías Nacional - para obras de infraestructura vial a nivel nacional, entre los años 2002 y 2016.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903. Sobre la infraestructura vial, cabe indicar que consiste en un tipo de infraestructura de transporte que está compuesta por instalaciones y activos físicos que sirven para la organización y oferta de los servicios de transporte de carga o de pasajeros por vía terrestre543. Estas instalaciones se pueden agrupar en obras viales (carreteras, caminos pavimentados y afirmados, entre otros), organizados en redes viales; y, en nodos de interconexión y terminales de transporte terrestre (terrapuertos o similares)544.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904. En el caso de las obras viales, según lo dispuesto en el Reglamento Nacional de Gestión de Infraestructura Vial, se puede realizar una clasificación de acuerdo con cuatro (4) niveles de intervención, correspondientes a: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Construcción: Consiste en la ejecución de obras de una vía nueva con características geométricas acorde a las normas de diseño y construcción vigentes.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Rehabilitación: Consiste en la ejecución de obras necesarias para devolver a la infraestructura vial sus características originales y adecuarla a su nuevo periodo de servicio; las cuales están referidas principalmente a la reparación o ejecución de pavimentos, puentes, túneles, obras de drenaje, de ser el caso movimiento de tierras en zonas puntuales y otros.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Mejoramiento: Consiste en la ejecución de obras necesarias para elevar el estándar de las vías mediante actividades que implican la modificación sustancial de la geometría y de la estructura de pavimentos; así como la construcción o adecuación de los puentes, túneles, obras de drenaje, muros, y señalizaciones necesarias.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Mantenimiento (periódico): Consiste en las actividades programadles cada cierto período que se realizan en las vías para conservar sus niveles de servicio. Estas actividades pueden ser manuales o mecánicas y están referidas principalmente a la reposición de capas de rodadura, colocación de capas nivelantes y sello; reparación o reconstrucción puntual de capas inferiores del pavimento; reparación o reconstrucción puntual de túneles, muros, obras de drenaje, elementos de seguridad vial y señalización; reparación o reconstrucción puntual de la plataforma de carretera; y, reparación o reconstrucción puntual de los componentes de los puentes (subestructura y superestructura)545.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Etapas de los procesos de selección investigados: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905. Durante el periodo investigado, los proyectos de inversión del Estado fueron desarrollados en el marco del Sistema Nacional de Inversión Pública (SNIP), siendo este un sistema administrativo del Estado que, a través de un conjunto de principios, métodos, procedimientos y normas técnicas, certifica la calidad de los Proyectos de Inversión Pública (PIP)546.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906. De acuerdo con el SNIP, los proyectos de inversión pública consideran las siguientes fases: (i) Pre-inversión, que comprende la elaboración del perfil, el estudio de perfectibilidad y estudio de factibilidad; (i¡) Inversión, que comprende la elaboración del expediente técnico detallado y la ejecución del proyecto; y, (iii)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Post-inversión, que comprende los procesos de control y evaluación ex post.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907. En particular, en la fase de Pre-inversión se evalúa si es conveniente o no realizar un proyecto, para ello se requiere que el proyecto sea socialmente rentable, sostenible y justificado. El estudio de pre-inversión está a cargo de la unidad formuladora, que se encarga de registrar el proyecto en el banco de proyectos.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908. Cuando el proyecto se declara viable, empieza la fase de Inversión. Esta etapa se  divide a su vez en la fase del expediente técnico, que incluye la planificación de la ejecución, el presupuesto, las metas y especificaciones técnicas; y, luego se procede a la fase de ejecución, implementando las actividades programadas y desarrollando la obra con todas las especificaciones del expediente técnico.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909. Finalmente, en la fase de Post-inversión se opera y da mantenimiento al proyecto, evaluando si se produjo una mejora en la prestación del servicio de la entidad que encargó el proyecto. Asimismo, se hace una evaluación ex-post donde se evalúa el cumplimiento de las metas planteadas en la etapa de pre-inversión.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6.2. Principales disposiciones normativas en el marco de las convocatorias de los procesos de selección investigados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6.2. 1.Sobre la modalidad de convocatoria de los procesos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910. Sobre este punto, cabe indicar que la realización de este tipo de obras se lleva a cabo con utilización de fondos o recursos públicos. Al respecto, la Constitución Política del Perú establece que el Estado está en la obligación de ejecutar estas obras por contrata o licitación pública547.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911. En el caso en particular, se puede observar que el Estado convocó estos procesos de selección principalmente bajo la modalidad de licitación pública, apreciándose que dicha modalidad presentó algunos cambios durante el periodo investigado, específicamente, en lo referente al tipo de postor al que se le permitía participar en dichos procesos.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912. Así, mediante el Reglamento de la Ley de Contrataciones y Adquisiciones del Estado, aprobado por Decreto Supremo 013-2001 -PCM el 13 de febrero de 2001, se determinaron las características, procedimientos y modalidades aplicables a cada proceso de selección. Para el caso de la licitación pública, se definió la modalidad denominada «Licitación Pública Nacional» (en adelante, LPN) , que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restringía la participación de las empresas que no tenían instalaciones en el país.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913. En esa misma línea, mediante el Decreto Supremo 083 y 084-2004-ROM del 29 de noviembre de 2004, se aprobó el Texto Único Ordenado de la Ley de Contrataciones y Adquisiciones del Estado y su reglamento, respectivamente. Este reglamento mantuvo la LPN como modalidad de contratación, precisando que correspondía para la ejecución de obras por empresas constituidas y con instalaciones en el país.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914. La LPN estuvo vigente hasta el 18 de mayo de 2006, fecha en la que se publicó el Decreto Supremo 63-2006-EF, que modificó el Reglamento de la Ley de Contrataciones y Adquisiciones del Estado, estableciendo solo una modalidad de licitación pública. A diferencia de la LPN, este nuevo marco normativo no restringía la participación de empresas extranjeras en los procesos de selección convocados por el Estado551.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915. En la siguiente ilustración se muestra la vigencia de la LPN: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Vigencia de la Licitación Pública Nacional (LPN)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(imagen)</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916. De esta manera, en relación con la conducta investigada, la Comisión identifica que hubieron dos etapas marcadas en la modalidad de contratación: (i) el periodo entre el 15 de marzo de 2001 y el 18 de mayo de 2006, durante el cual solo las empresas constituidas y con instalaciones en el país podían participar en determinados procesos - Licitación Pública Nacional - y (¡i) el periodo entre el 19 de mayo de 2006 y el 31 de diciembre de 2016, durante el cual se eliminó la Licitación Pública Nacional y se permitió la participación de postores extranjeros en aquellas licitaciones que no les hubieran sido permitidas bajo la modalidad de contratación previa.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6.2.2. Sobre los límites establecidos para las ofertas económicas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917. Con el objetivo de regular el proceso de contratación con el Estado se promulgó en 1997 la Ley 26850, Ley de Contrataciones y Adquisiciones del Estado, estableciendo las pautas bajo las que empresas interactúan con el Estado (representado por las unidades ejecutoras) para adjudicarse los proyectos de obras, siendo monitoreados por el organismo supervisor correspondiente552.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918. La normativa de contrataciones exige diversos requisitos para que una propuesta económica sea válida. La Ley 26850553, publicada en julio de 1997, señalaba que una oferta económica era válida siempre que se encontrara entre el 50% y 110% del valor referencial554.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919. Posteriormente, mediante la Ley 27330, publicada en julio de 2000, se modificaron los límites para considerar una oferta económica válida. Así, para el caso de la ejecución y consultoría de obras, el límite inferior se modificó a 70% del valor referencial. Finalmente, mediante la Ley 27738, publicada en mayo de 2002, se cambió este límite a 90% , tal como se muestra en la siguiente ilustración:</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Límites de la propuesta económica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(imagen)</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920. De esta manera, en relación con la conducta investigada, la Comisión identifica que, entre el 2002 y 2016, las propuestas económicas a ser presentadas por los postores en los procesos de selección debían ubicarse entre el 90% y 110% del valor referencial para ser consideradas como ofertas válidas.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6.2.3.Sobre las disposiciones asociadas al valor referencial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921. En las bases determinadas por la entidad convocante, se establece el valor referencial del proceso de selección, el cual incluye los costos de la obra a ejecutar, así como un margen de ganancia para el postor ganador. Al respecto, con base en este valor referencial y la oferta económica presentada por cada uno de los postores, se determina un indicador denominado BIDip, a efectos de evaluar la conducta de las empresas imputadas.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922. En particular, se calculó el BlDip como el cociente entre la oferta económica presentada por el participante (OEip) y el valor referencial calculado por la entidad convocante de la licitación (//?p)558. Así, el término OEip representa la oferta económica del participante i en la licitación p, mientras que el término VRp representa el valor referencial de la licitación p559.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923. En este punto, resulta oportuno evaluar si el valor referencial recoge los cambios que ocurren en el mercado que podrían afectar su determinación. Para ello, la Comisión ha revisado las principales disposiciones normativas asociados con su cálculo.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Principales disposiciones normativas del valor referencial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924. De acuerdo con lo dispuesto por el artículo 27 del Decreto Supremo 13-2001 -PCM (Reglamento de la Ley de Contrataciones y Adquisiciones del Estado560), el valor referencial es el costo estimado aprobado por la entidad convocante para la adquisición o arrendamiento de bienes y para la contratación de servicios u obras, sobre la base de los precios de mercado.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925. En este mismo artículo se dispone que la entidad convocante de la licitación determinará el valor referencia! incluyendo todos los tributos, seguros, transporte, inspecciones, pruebas y cualquier otro concepto que pueda incidir sobre el costo de los bienes, servicios o ejecución de obras a adquirir o contratar.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926. Por su parte, el artículo 32 del Decreto Supremo 84-2004-PCM (Reglamento de la Ley de Contrataciones y Adquisiciones del Estado561) dispone que, además de lo indicado previamente, de ser el caso, el valor referencial debe incluir los costos laborales respectivos conforme a la legislación vigente. Asimismo, este artículo señala que, en el caso de ejecución de obras, el valor referencial será el que establezca el expediente técnico, con excepción del Concurso Oferta.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927. En las disposiciones normativas que le proceden al Decreto Supremo referido en el párrafo anterior, y que estuvieron vigentes durante el periodo de análisis, se mantiene el sentido de que el valor referencial de la licitación se sujetará a lo dispuesto en el expediente técnico'.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i. El artículo 14 del Decreto Supremo 184-2008-EF (Reglamento de la Ley de Contrataciones y Adquisiciones del Estado562) mantiene lo referido a que el valor referencial se sujetará a lo dispuesto en el expediente técnico563 en el caso de ejecución y consultoría de obras.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ii. El artículo 13 del Decreto Supremo 350-2015-EF (Reglamento de la Ley de Contrataciones del Estado564) dispone que el valor referencial en el caso de contratación para ejecución de obras, corresponde al monto del presupuesto de obra establecido en el expediente técnico, y que dicho presupuesto debe incluir todos los tributos, seguros, transporte, inspecciones, pruebas, seguridad en el trabajo y los costos laborales respectivos conforme a la legislación vigente, así como cualquier otro concepto que le sea aplicable y que pueda incidir en el presupuesto.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928. Adicionalmente, cabe indicar que, en la normativa vigente, los numerales 2, 3 y 4 del artículo 34 del Decreto Supremo 344-2018-EF (Reglamento de la Ley 30225, Ley de Contrataciones del Estado), disponen que el valor referencial corresponde al monto del presupuesto de la obra establecido en el expediente técnico de la obra aprobado por la entidad convocante de la licitación.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Para la obtención de este monto, la dependencia de la entidad convocante o el consultor que tiene a cargo la elaboración del expediente técnico, realiza las indagaciones de mercado a efectos de contar con el análisis de precios unitarios actualizados por cada partida y sub partida, teniendo en cuenta los insumos requeridos, las cantidades, precios o tarifas y demás gastos generales variables y fijos, así como la utilidad565.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929. Por su parte, se puede apreciar que, durante el periodo investigado, la normativa disponía que, para convocar un proceso de selección, el valor referencial no podía tener una antigüedad mayor de 2 meses (entre 2002 y 2004) y 6 meses (entre 2007 y 2016).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i. El artículo 26 del Decreto Supremo 083-2004-PCM indicaba que el valor referencial era determinado sobre la base de los costos estimados por la dependencia o dependencias responsables de la Entidad, con una antigüedad no mayor a los dos (2) meses anteriores a la convocatoria del proceso de selección.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ii. La disposición decimosétima de la Ley 28979, Ley que autoriza crédito suplementario en el presupuesto del sector público para el año fiscal 2007 dispuso que el valor referencial era determinado sobre la base de los costos estimados por la dependencia o dependencias responsables de la Entidad, con una antigüedad no mayor a los seis (6) meses anteriores a la convocatoria del proceso de selección.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¡ii. Posteriormente, si bien existieron modificatorias y actualizaciones del Reglamento de Contrataciones con el Estado el periodo de antigüedad se mantuvo en seis (6) meses.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930. En la actualidad, en el caso de ejecución de obras, el artículo 34 del Reglamento de la Ley 30225, Ley de Contrataciones del Estado, dispone que el valor referencial para convocar el procedimiento de selección no puede tener una antigüedad mayor a los nueve (9) meses, contados a partir de la fecha de determinación del presupuesto de obra o del presupuesto de consultoría de obra, según corresponda, pudiendo actualizarse antes de la convocatoria.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931. De acuerdo con lo anteriormente expuesto, esta Comisión aprecia que el valor referencial se determina a partir de información detallada y actualizada de los insumos requeridos en el expediente técnico. El área de la entidad convocante o el consultor a cargo del expediente técnico indagan en el mercado para contar con una valorización detallada y a precios corrientes.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932. En consecuencia, esta Comisión considera que el valor referencial toma en cuenta los cambios que ocurren en el mercado, principalmente los precios, toda vez que es una medida que se determina con información detallada y actualizada al momento de su convocatoria. Por lo que también resulta pertinente utilizar el indicador BIDip a efectos de analizar la conducta de las empresas imputadas.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6.3. Procesos de selección de obras viales investigados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Respecto de la entidad encargada de la ejecución de los procesos de selección investigados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933. La Comisión aprecia que los procesos de selección investigados corresponden a obras pertenecientes al Sistema Nacional de Carreteras (Sinac), sistema que, de acuerdo con el Reglamento de Jerarquización Vial aprobado mediante Decreto Supremo 017-2007-MTC566, puede clasificarse en tres jerarquías de redes viales: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i. Red Vial Nacional, que comprende a las carreteras de interés nacional y que constituyen la base del Sinac.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¡i. Red Vial Departamental o Regional, que articula la Red Vial Nacional con la Red Vial Vecinal o Rural.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iü. Red Vial Vecinal o rural, red que articula las capitales de provincia entre sí, con capitales de distrito, con centros poblados o zonas de influencia local y con la Red Vial Nacional y la Red Departamental.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934. De acuerdo con el Decreto Supremo 034-2008-MTC , la gestión de la Red Vial Nacional se encuentra a cargo del Gobierno Nacional , la Red Vial Departamental o Regional está a cargo de los Gobiernos Regionales y la Red Vial Vecinal o Rural se encuentra a cargo de las municipalidades provinciales o distritales.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935. La entidad encargada de la ejecución de los proyectos asociados a los procesos de selección bajo análisis ha variado durante el periodo investigado. Al respecto, se precisa que, mediante el Decreto Supremo 027-93-TCC del 17 de septiembre de 1993, se creó el Sistema Nacional de Mantenimiento de Carreteras (Sinmac), órgano encargado de la planificación, gestión y control. De las actividades y recursos económicas empleados para el mantenimiento de carreteras y puentes de la Red Vial Nacional.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936. Luego, mediante Decreto Supremo 05-94-TCC del 4 de febrero de 1994, se creó el Proyecto Especial Rehabilitación Infraestructura de Transportes - PERT, cuyo objeto fue la construcción, rehabilitación y el mantenimiento de la infraestructura de transportes del país569.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937. Posteriormente, con la finalidad de consolidar las actividades de mantenimiento de carreteras y puentes de la Red Vial Nacional en una sola unidad orgánica, mediante Decreto Supremo 051-2001-MTC del 27 de diciembre de 2001 se transfirieron los derechos y obligaciones del Sinmac al PERT en enero de 2002.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938. En atención al proceso de modernización del MTC , mediante Decreto Supremo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570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033-2002-MTC del 12 de julio de 2002, se creó el Proyecto Especial de Infraestructura de Transporte Nacional - Provías Nacional y el Proyecto Especial de Infraestructura de Transporte Rural - Provías Rural, responsables de la construcción, mejoramiento, rehabilitación y el mantenimiento de la infraestructura de transportes relacionada a la Red Vial Nacional y Red Vial Rural, respectivamente, y asumieron los derechos y obligaciones del PERT.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939. En esta misma línea, mediante Decreto Supremo 023-2002-MTC del 14 de junio del 2002 se creó el Proyecto Especial de Infraestructura de Transporte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571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Departamental - Provías Departamental, que tuvo a su cargo las actividades de preparación, gestión, administración y ejecución de proyectos de infraestructura de transporte departamental del MTC.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940. Por último, mediante Decreto Supremo 029-2006-MTC del 12 de agosto de 2006 se unieron Provías Rural y Provías Departamental, siendo denominados Proyecto Especial de Infraestructura de Transporte Descentralizado - Provías Descentralizado.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941. La evolución de las entidades a cargo de la ejecución de las obras de construcción, rehabilitación, mejoramiento y mantenimiento (periódico) de la infraestructura vial a nivel nacional se muestra en la siguiente ilustración: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(imagen)</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942. De acuerdo con la información del Ministerio de Economía y Finanzas (MEF), el gasto devengado en proyectos de infraestructura vial tuvo una tendencia creciente durante los últimos años . Así, durante el 2002, dicho gasto fue aproximadamente de S/ 372 millones de soles; mientras que durante el 2015 fue aproximadamente de S/ 5 000 millones de soles.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943. Asimismo, este gasto tuvo una participación significativa respecto al gasto total devengado en proyectos por el MTC, representando el 79% en promedio; y, si se considera el gasto de los proyectos de todo tipo de infraestructura a nivel nacional (como, por ejemplo, gastos en infraestructura de educación, agua potable, desagüe), este gasto representó el 16% en promedio.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944. Por lo tanto, es posible señalar que el Estado realiza una gran inversión en infraestructura vial, siendo que el gasto devengado en estos proyectos representa una parte importante del presupuesto anual devengado en proyectos del MTC y del presupuesto de todo tipo de infraestructura a nivel nacional.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945. Por otro lado, y como se verá más adelante, se cuenta con evidencia de la realización de conductas anticompetitivas en aquellos procesos de selección convocados principalmente por Provías Nacional, cuyos valores referenciales por proceso fueron superiores a los ocho (8) millones de soles.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946. Sobre e! particular, del grupo de 112 procesos de selección investigados, se puede apreciar que, en promedio, cada empresa habría recibido un monto aproximado de 71 millones de soles por la ejecución de obras en carreteras . Asimismo, considerando las ofertas económicas válidas, es decir, aquellas ofertas que no fueron descalificadas, se pueden observar que, en promedio, las empresas participaron en 24 procesos de selección.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947. Las empresas interactuaron a lo largo del periodo imputado, presentándose a estos procesos de selección ya sea de manera individual o como parte de un consorcio. Asimismo, cabe resaltar que, el obtener la buena pro de los procesos de selección convocados les permitía a estas empresas obtener una mayor experiencia y, por lo tanto, cumplir con los requisitos requeridos por la entidad convocante en una convocatoria posterior.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Vil. ANÁLISIS DE LA CONDUCTA INVESTIGADA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7. 1. Alcances generales de la práctica colusoria horizontal imputada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948. Mediante la Resolución de Inicio, la Secretaría Técnica imputó a Altesa, Andrade Gutiérrez, Aramsa, Conalvías, CASA, Conciviles, Camargo Correa, Constructora Málaga, Grupo Odebrecht, Grupo OHL, Upacá, CyM, OAS, Queiroz Galvao, Cosapi, E. Reyna, Eivisac, Energoprojekt, GyM, Grupo Plaza, Iccgsa, Jaccsa, JCCG, JJC, Johesa, Montes Hnos, Obrainsa, San Martín, Superconcreto, TyT y Aterpa, así como a 26 de sus funcionarios, la presunta realización de una práctica colusoria horizontal en la modalidad de establecimiento de posturas o abstenciones en licitaciones, concursos u otra forma de contratación o adquisición pública en el mercado de obras públicas (rehabilitación, mejoramiento, construcción, reconstrucción y mantenimiento periódico) adjudicadas mediante procedimientos de contratación con el Estado, a nivel nacional, entre noviembre de 2002 y diciembre de 2016.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949. Sobre el particular, la Secretaría Técnica consideró que los correos electrónicos, documentos y testimonios presentes en el Expediente acreditarían la existencia de un sistema de coordinación de propuestas, ofertas y abstenciones establecido por las empresas investigadas, el que habría permitido a sus integrantes distribuirse más de un centenar de procedimientos de selección convocados para la contratación de obras y designar entre ellas al ganador de cada uno de estos procesos.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950. En específico, la Secretaría Técnica manifestó que la evidencia permitía constatar que el desarrollo de la conducta infractora, entre noviembre de 2002 y diciembre de 2016, logró el reparto de 112 procesos de contratación convocados por el Estado, detallando que este cártel habría tenido lo largo de los años las siguientes características en su materialización: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 Para su asignación, cada procedimiento de selección era sujeto a la presentación de solicitudes por parte de las empresas participantes interesadas en obtener la buena pro.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 La asignación de los procesos en el marco de la concertación se habría regido de manera referencial por una serie de pautas denominadas por las empresas participantes como “turno”, “cuota”, “vuelta”, “prelación” y "acompañante”.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 A efectos de registrar los procesos y "turnos” concedidos a cada participante en el marco del sistema de reparto de procesos que implicó el acuerdo anticompetitivo existente, algunas empresas habrían llevado un registro que contabilizaba el detalle de lo asignado.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 En respuesta al incremento de la cantidad de empresas participantes del sistema, estas optaron por designar delegados, los cuales representaban a un subgrupo de empresas en las reuniones, a efectos de disminuir el riesgo de que la conducta pudiera ser detectada.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 El grupo de empresas participantes del sistema era denominado por sus integrantes de diversas formas, encontrándose referencias a este como "el club”, “el gremio”, “el grupo”, "las empresas amigas" o “los amigos".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951. Al respecto, esta Comisión considera que los medios probatorios en el expediente permiten constatar que las empresas imputadas y sus representantes se  involucraron en el establecimiento y empleo de un sistema de reparto en el que se  asignaba cuales de sus integrantes se beneficiarían de distintos procedimientos de contratación convocados por Provías Nacional (y ciertas autoridades regionales), acordando en el año 2002 la creación de este sistema y la aplicación de una serie de pautas que guiarían las asignaciones de procesos en el cártel a lo largo de los años.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952. En concreto, esta Comisión identifica que el acuerdo anticompetitivo del que formaron parte las empresas y personas naturales imputadas, y que ha sido materia de reconocimiento en su integridad por parte de Mota Engil, Mota Engil Perú, Obrainsa, JJC y los señores Hernando Graña, Norma Zeppilli, Ernesto Tejeda, Fernando Carnet y Néstor Martínez, se distinguió por la presencia de cinco (5) aspectos característicos, referidos a: i) la forma en la que se activaba la asignación de procesos en el cártel; ¡i) las pautas para definir que solicitud de asignación primaba; iii) el registro o contabilidad de las asignaciones de procesos en el cártel; iv) la posibilidad de utilizar de delegados para coordinar la concertación; y, v) los términos con los que miembros del sistema de reparto hacían referencia al mismo; cuya acreditación será analizada a continuación.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7.1.1. La solicitud de procesos en el sistema de reparto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953. Partiendo del análisis de los medios probatorios a disposición, un primer elemento característico de la concertación evaluada se encuentra constituido por el tipo de accionar que gatillaba o accionaba la utilización del sistema de reparto para la asignación de un proceso.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954. Respecto ello, esta Comisión observa que los procesos materia de asignación en el cártel se encuentran constituidos por aquellos donde los integrantes del cártel presentaban cierto interés en su adjudicación, razón que los motivaba a hacer que se garantice que ellos serían los ganadores de dichos procesos. En ese sentido, se identifica que la conducta investigada implicó que las empresas participantes, ante la existencia de un proyecto de infraestructura vial de su interés, manifestaran al resto de miembros del cártel su interés en él, generando que la obtención de esta obra pase a ser coordinada en el marco del sistema de reparto investigado.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955. Este tipo de solicitudes en el marco de la concertación se observa en evidencias como la SMC0 1 , cadena de correos electrónicos del 18 de diciembre de 2012 en la que el señor Efraín García Polo, quién desempeñaba las funciones de gerente comercial en San Martín , señala con relación a una obra de carretera  que la misma “pertenece al grupo y la está pidiendo Queiroz Galvao", refiriendo así a que esta fue solicitada por Queiroz Galvao dentro del cártel.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(imagen)</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956. Otro medio probatorio en el que se explícita este tipo de solicitudes se observa en el caso de la evidencia SMC02, cadena de correos electrónicos del 22 y 23 de agosto de 2012 en la que el señor Julián Siucho, presidente del directorio de San Martín, remite a los señores Luis Flores (San Martín) y Efraín García Polo (San Martín) un listado de proyectos en el que registra las solicitudes de asignación de procesos planteadas por ciertos integrantes del cártel, las cuales son señaladas en su comunicación como “algunas anotaciones sobre empresas que ya pidieron obra” e incluyen solicitudes realizadas por Grupo Odebrecht, Obrainsa, Grupo OHL (C. Tizón), Jaccsa, Energoprojekt, TyT, Andrade Gutiérrez, Conalvías, CASA, Aramsa, Altesa, Cosapi, Constructora Málaga y Superconcreto con motivo de procesos en curso (cuarta, sexta, octava, decimoctava, decimonovena, duodecimaprimera, duodecimosegunda y duodecimotercera fila) o que serían convocados en un futuro (segunda y decimocuarta fila), reflejando esto último que estas solicitudes podían concretarse con mucha anticipación.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Igualmente, en esta cadena de correos se aprecia que el señor Julián Siucho afirma que se contactaría con Fernando Castillo de Iccgsa (empresa identificada como la presidenta del cártel579) el 22 de agosto de 2012 para coordinar que obra sería la solicitada por San Martín (“hoy debo conversar con FC sobre cual sería”), aspecto que corrobora su participación en este tipo de peticiones.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957. Ejemplos semejantes de solicitudes de procesos en el cártel se verifican igualmente en las evidencias SMC03 y JCCG01, en las que se constatan otras menciones a la realización de pedidos dentro del cártel para obtener la asignación de ciertos procesos.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958. En el caso de la evidencia SMC03, cadena de correos cursada entre el 7 y 9 de marzo de 2013 por los señores Julián Siucho (San Martín), Luis Flores (San Martín) y Efraín García Polo (San Martín), en esta se observa la coordinación que realiza Julián Siucho al interior de San Martín respecto a la necesidad de solicitar en el marco de la concertación el proceso vinculado a la carretera San Marcos Cajabamba (LP 33-2012/MTC/20), precisando que para ello deberían contactar al señor Rafael Granados de Iccgsa {“Tenemos q pedir hoy a Granados la carretera San Marcos Cajabamba” [sic]).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Esta mención es complementada por las coordinaciones posteriores que realizan los señores Luis Flores y Efraín García Polo luego de recibir esta indicación de Julián Siucho, constatándose que el primero consulta si se realizó la solicitud de asignación y el segundo responde confirmando la concreción de una reunión con Rafael Granados (Iccgsa) vinculada a ello, corroborando que se materializó la solicitud de asignación coordinada al interior de San Martín.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959. De igual manera, en la evidencia JCCG01, comunicación del 27 de junio de 2008 entre el gerente comercial de JCCG y el gerente general de Upacá, se observa referencia a la existencia de una solicitud de un proceso en el marco del cártel, mencionando el representante de JCCG que la LP 20-2007/MTC/20 había sido solicitada en la concertación (“también lo está pidiendo SVC” [sic^2)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960. La realización de este tipo de solicitudes en la concertación es corroborada en todos y cada uno de sus detalles y extremos por las declaraciones de los señores Jaime Crosby583, exgerente comercial de GyM, ex gerenta comercial de Iccgsa y Translei, quienes señalaron en sus testimonios que la asignación de procesos en el marco del cártel era precedida por coordinaciones entre las integrantes del cártel en las que manifestaban su interés por una obra determinada.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961. Con relación a ello, resultan ilustrativas las afirmaciones de la señora Norma Zeppilli (Mota Engil Perú), quien señaló en su escrito del 15 de diciembre de 2020 (MEP01) que las empresas interesadas en un un proyecto se reunían para explicar su interés por este y definir a la empresa o empresas a las que les correspondía adjudicarse el proceso, dejando a las otras la posibilidad de presentar ofertas para garantizar que hubiera pluralidad de postores.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En este documento, la señora Norma Zeppilli también detalla recordar haber participado con representantes de empresas competidoras en reuniones para decidir la asignación de, por lo menos, once (11) licitaciones, detallándolas en el siguiente listado: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962. A criterio de esta Comisión, estos medios probatorios permiten acreditar que las coordinaciones en el marco del sistema de reparto imputado se iniciaban con la manifestación de interés por una obra por parte de uno o varios de sus integrantes, la cual activaba las coordinaciones para su asignación en la concertación y podía incluso ser realizada en reuniones presenciales realizadas entre los miembros del cártel.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7.1.2. Criterios referenciales de asignación de obras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963. Un segundo elemento característico de la concertación imputada corresponde a las pautas o criterios que se aplicaban dentro del sistema de reparto para determinar cuales de las solicitudes de sus miembros debían de ser aceptadas y como decidir ante la presencia de dos o más solicitudes planteadas respecto a una misma obra.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964. En relación con ello, el análisis de la evidencia presente en el expediente permite a esta Comisión verificar la presencia de, por lo menos, cinco (5) criterios que regían el sistema de reparto, denominados: i) “turno”; ¡i) “vuelta”; ¡ii) "cuota”; iv) "prelación"; y, v) "acompañante”; constatándose la existencia de evidencia que acredita de manera clara su aplicación y consideración dentro del cártel.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i. “Turno”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965. El término "turno" representó en la concertación el derecho que cada uno de sus integrantes poseía para solicitar la asignación de una obra en el marco del sistema de reparto, el cual se encontraba circunscrito a obras que llegaban hasta cierto nivel en su valor referencial. En caso las obras superaran dicho criterio, se observa que se requería que sus miembros utilizaran más de uno de estos turnos, generando así la necesidad de coordinaciones adicionales entre las empresas concertadas.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966. El significado de este término se aprecia de manera clara al ser utilizado por diversos integrantes del cártel a lo largo de los años bajo la connotación previamente descrita, observándose muestra de ello en evidencias como la SMC04, SMC05, OHL01, GYM01 y GYM02.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967. La evidencia SMC04, cadena de correos electrónico del 8 de febrero de 2013 en la que el señor Julián Siucho (San Martín) inicia consultando al señor Efraín Gacía Polo (San Martín) cuál era el proceso al que Johesa quería ir con San Martín y a favor de quien se había asignado dicho proceso en la concertación .permite observar una primera referencia clara al término "turno”, resultando ilustrativo que el señor Efraín García Polo señale ante esta consulta que dicha obra “aún no tiene nombre" y que a Johesa “le interesa ir con nosotros porque cree que con su turno y el nuestro podríamos pujar bien”, mención que corresponde a una referencia a la utilización de "turnos” para que se asigne una obra en el cártel. </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[Continúa en la siguiente página]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968. La evidencia SMC05, cadena de correos electrónico del 20 y 21 de marzo de 2013 entre los señores Julián Siucho (San Martín) y Efraín Gacía Polo (San Martín) en la que se coordina comentar al señor José Heighes (Johesa) que a Altesa le correspondía un turno en la concertación, refleja igualmente otra mención al término “turno" dentro del cártel, verificándose referencia al mismo al indicarse con relación a Altesa que "les toca un tumo”.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969. La evidencia OHL01, cadena de correos electrónico del 9 y 10 de diciembre de 2009 entre representantes de Grupo OHL (Mavi Tizón) y Upacá (Rodolfo Weiss), constituye otro documento en el que un miembro del cártel hace alusión al empleo de tumos en el marco del sistema de reparto, observándose que el representante de Upacá consulta a la de Grupo OHL si la participación de su empresa con motivo de la LP 12-2009/MTC/20 sería “con cargo al turno del caso”.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970. La evidencia GYM01, comunicación del 21 de noviembre de 2012 entre Nicolay Castillo (GyM) y Rodolfo Sotelo (GyM), también resulta sumamente gráfica respecto al uso del “turno” por parte de participantes de la concertación, haciéndose referencia a que en la LP 23-2012/MTC/20 (“Carretera Pto ocopa - Pangoa") otra empresa del cártel había hecho uso de su turno para obtener este proceso (“no nos toca el turno”).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971. Finalmente, la evidencia GYM02, comunicación del 17 de octubre de 2014 que Nicolay Castillo (gerente comercial de GyM) se remite a sí mismo, representa una situación adicional en la que una de las empresas integrantes del cártel hace mención a los turnos de los miembros de la concertación, contabilizando este representante de GyM los “turnos” (“T”) que requerían ciertas empresas para tomar la LP 5-2014/MTC/20 (‘‘Pta Bombon”) en el marco del sistema de reparto590: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972. El uso de los "turnos” dentro del sistema de reparto se comprueba igualmente del contenido de las declaraciones de los señores Marco Aranda592 (Cosapi), Norma Zeppilli593 (Motra Engil Perú), Jaime Crosby594 (GyM) y Femando Carnet595 (JJC), quienes indican en sus testimonios que el “turno" correspondía al derecho que cada empresa tenía para que le tocara beneficiarse de un proceso y tener con ello "trabajo”.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973. Igualmente, los medios probatorios presentes en el expediente permiten comprobar que estos turnos tenían la particularidad de poder ser utilizados para favorecer a una empresa distinta a la titular de los mismos, siendo posible así que un integrante del cártel emplee o transfiera su turno para beneficiar a otra empresa de la concertación, recibiendo a cambio de ello una contraprestación.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974. Esta particularidad se aprecia de manera clara en evidencias como la CQG01 y CSP01, en las que se constatan pactos escritos en los que miembros del cártel acceden a que sus turnos sean utilizados en beneficio de otros participantes de la concertación, recibiendo a cambio de ello pagos que se canalizaban por medio de entregasen efectivo (CQG01), compra de materiales (CQG01), subcontrataciones (CSP01) o consultorías (CSP01) que podían incluso ser otorgadas indirectamente a través de empresas vinculadas (CSP01).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975. La evidencia CQG01 contiene una comunicación del 7 de junio de 2010 al interior de Queiroz Galvao en la que se remite en adjunto un documento de Word titulado “ACUERDO ENTRE LAS PARTES”, en el que se detalla un pacto entre Conciviles (“Civiles"), Queiroz Galvao (“CQG”) y ¿amargo Correa (“CCCC”) en el que la primera de estas empresas cede a favor de Queiroz Galvao y Camargo Correa el uso de su turno para la asignación de un proceso a cambio de una contraprestación de 1,2 millones de dólares (“1.2 dolares”).</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976. La evidencia CSP01 contiene un convenio suscrito entre Jaccsa ("J”) y Cosapi ("C”) en la que la primera de estas accede a que Cosapi utilice uno los turnos de Jaccsa en el sistema de reparto, recibiendo a cambio de ello las siguientes contraprestaciones: i) contratar o subcontratar a Jaccsa o a alguna de sus vinculadas en un plazo de 36 meses por obras que impliquen una utilidad de por lo menos 2 millones de dólares; ¡i) alquilar preferentemente la maquinaria de Jaccsa o de las empresas que Jaccsa indique; y, iii) realizar un pago por un importe de $ 250 000,00 (más IGV) mediante contratos de consultoría.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977. Menciones adicionales a esta cesión o venta de “turnos” también se aprecia en el caso de las evidencias CCC01 y GYM03, comunicaciones en las que se hace referencia a dos oportunidades en las que Grupo Odebrecht cedió sus turnos en el marco de la concertación (CCC01 y GYM03), así como a transferencias de los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turnos de Grupo Odebrecht, San Martín y C. Tizón (CCC01).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978. La evidencia CCC01, cadena de correos electrónicos del 14 y 15 de enero de 2009 al interior de Camargo Correa, presenta un archivo de Excel del 14 de octubre de 2008 elaborado por Luis Cohén (Camargo Correa)597 en el que se detalla una serie de procesos de los años 2006, 2007 y 2008 vinculados a carreteras, observándose en su pestaña “XPostor” anotaciones que señalan la utilización de turnos de ciertos integrantes del cártel para asignar la LP 24-2006/MTC/20, LP 29- 2007/MTC/20 y LP 1-2007/MTC/20 en el marco del sistema de reparto, verificándose que: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i. La LP 24-2006/MTC/20 ("Pte. Pumahuasi-Pte Chino”) es registrada bajo las  filas correspondientes a Camargo Correa (fila 17), Queiroz Galvao (fila 6) y C. Tizón (fila 8), a pesar de que el postor ganador de este proceso (Consorcio Puente Chino) solo incluyó a las dos primeras, aspecto que permite inferir que el registro de Camargo Correa, Queiroz Galvao y C. Tizón con relación a la LP 24-2006/MTC/20 pretendía registrar que se utilizaron turnos de estas tres empresas para asignar este proceso en el cártel (coincidiendo con lo señalado en la evidencia CSP03 respecto a este proceso -fila 34);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ii. La LP 29-2007/MTC/20 ("Pucayacu-Porongo") es registrada bajo las filas de Conciviles (fila 21) y San Martín (fila 22), a pesar de que este proceso fue adjudicado solo a Conciviles, aspecto que permite inferir que el registro de Conciviles y San Martín con relación a la LP 29-2007/MTC/20 pretendía registrar que se utilizaron turnos de estas dos empresas para asignar este proceso en el cártel (coincidiendo con lo señalado en la evidencia CSP03 respecto a este proceso -fila 48); y,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iii. En el caso de Grupo Odebrecht (fila 1 - ''C.N.O."), su primera fila en la pestaña “XPostor” señala de manera clara que esta empresa cedió turnos en el marco de la concertación a favor de CASA y Aramsa (“Cede para CASA/ARAMSA”}, identificándose que esta mención corresponde a la LP 1-2007/MTC/20 debido a que de los dos procesos registrados a ambas empresas en este documento (LP 1-2007/MTC/20 y LP 13-2007/MTC/20), solo este figura en la evidencia CSP03 como asignado a favor de ambas empresas con los turnos de Grupo Odebrecht (fila 39), mientras que para la LP 13-2007/MTC/20 se señala que los turnos utilizados correspondían a los propios turnos de CASA y Aramsa (fila 42). </w:t>
      </w:r>
    </w:p>
    <w:p w:rsidR="00000000" w:rsidDel="00000000" w:rsidP="00000000" w:rsidRDefault="00000000" w:rsidRPr="00000000" w14:paraId="000000CB">
      <w:pPr>
        <w:widowControl w:val="0"/>
        <w:spacing w:after="0" w:line="360" w:lineRule="auto"/>
        <w:jc w:val="both"/>
        <w:rPr/>
      </w:pPr>
      <w:r w:rsidDel="00000000" w:rsidR="00000000" w:rsidRPr="00000000">
        <w:rPr>
          <w:rtl w:val="0"/>
        </w:rPr>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979. La evidencia GYM03, correo electrónico del 4 de agosto de 2009 entre el señor Nicolay Castillo (GyM) y Hernando Graña (GyM), presenta igualmente una mención a otra transferencia de turno de Grupo Odebrecht concretada previamente a agosto de 2009 (“Empresas que tomaron: [...] CON vendió”), anotación que concuerda con la utilización del turno de Grupo Odebrecht con motivo de la LP 8-2008/MTC/20 para que Energoprojekt y Johesa se beneficiaran de este proceso, registrado en la evidencia CSP03 (fila 54).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980. La utilización de los "turnos” de esta forma en el sistema de reparto resulta consistente con las afirmaciones realizadas por los señores Fernando Carnet599 (JJC) y Marco Aranda (Cosapi)600, quienes recalcan la posibilidad de ceder estos a favor de otros integrantes del cártel, reconociendo el último de ellos que Cosapi se benefició de este tipo de accionar incluso con turnos provenientes de empresas extranjeras.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ii. “Vuelta”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981. De manera semejante, el término "vuelta” representó en la concertación una ronda conformada por un turno de cada integrante del acuerdo anticompetitivo, siendo computadas desde el inicio del sistema de reparto con el objetivo de verificar quienes de sus miembros utilizaban una mayor o menor cantidad de turnos.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982. Los tumos en la concertación recibían una numeración en función a la vuelta en que se agrupaban (primer turno, segundo turno, tercer turno, etc.), verificándose que las empresas que se incorporaron durante el transcurso del funcionamiento del sistema iniciaban la contabilidad de sus turnos a partir de una de las “vueltas” en curso al momento de su incorporación.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983. La referencia a la existencia de “vueltas" en el sistema de reparto se observa de manera clara en evidencias como la SMC06, OHL02 y CYM01, en las que se hace mención expresa a la existencia de estas en el cártel.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984. En el caso de la evidencia SMC06, cadena de correos electrónicos del 22 y 23 de mayo de 2014 cursada entre los señores Julián Siucho (San Martín) y Efraín García Polo (San Martín), se observa que la mención al término "vueltas” es señalada por el señor Efraín García Polo en respuesta a una consulta del señor Julián Siucho respecto a información vinculada a la concertación (“Q dicen los del club también?”[sic]), indicando, entre otros aspectos, que se establecieron en el sistema de resparto nuevas pautas que favorecerían a integrantes que habían tomado hasta el momento turnos de menos vueltas (“las nuevas reglas nos favorecerían ya que apuntan a compensar a los que tienen menos vueltas").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985. De manera semejante, la evidencia OHL02, que contiene una comunicación del 16 de noviembre de 2013 diriga por José María Romero (Grupo OHL) a Mavi Tizón (Grupo OHL), presenta de manera clara otra mención a la aplicación de las “vueltas" en la concertación, conteniendo una consulta al interior de Grupo OHL en la que se pregunta a que se debió que a este agente económico se le contabilizaran turnos que correspondían a tres (3) vueltas en el sistema de reparto (“como fue que nos cargaron 3 vueltas?”[sic]). </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En esta comunicación resulta además resaltante que el señor José María Romero también solicitó a la señora Mavi Tizón información sobre las obras que se habían asignado previamente a Grupo OHL en la concertación (“quiero saber bien cuales obras son las que nos están cargando Cuando se ejecutaron y sus montos” [sicj), haciendo evidente la vinculación de esta comunicación con el cártel.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986. Finalmente, una mención adicional al término “vuelta” puede constatarse dentro del documento de Excel que corresponde a la evidencia CYM01, archivo que contiene la contabilidad realizada por CyM respecto de turnos procesos asignados en el marco de la concertación601, verificándose que la pestaña en la que se registra las empresas y los procesos en los que se utilizaron turnos es denominada con el término “Vueltas”.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987. Esta utilización de las “vueltas” para agrupar los turnos en el sistema de reparto, es corroborada también a partir de las declaraciones de los señores Fernando Carnet (JJC) y Néstor Martínez (JJC)603, quienes han indicado que cada vuelta en la concertación abarcó una ronda de turnos tomados por cada participante de la concertación, detallando que era posible que las empresas coordinen el adelanto de turnos correspondientes a vueltas posteriores.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iii. “Cuota”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988. Dentro de la concertación, el término “cuota” correspondió al valor monetario aproximado (en millones de soles) que cada turno en el sistema de reparto podía abarcar para la asignación de una obra, el cual era utilizado para determinar si el turno o turnos empleados por miembros del cártel resultaban suficiente para obtener la obra que era materia de solicitud.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989. Al respecto, ante una obra de un valor referencial determinado (p.e. S/ 60 000 000,00), la asignación de la misma en el cártel requería que las empresas interesadas en la obra utilicen turnos con cuotas cuya sumatoria equivalga de manera aproximada al valor referencial de la obra (p.e. dos turnos con cuota de 30 millones), procediéndose así a su asignación. </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990. El valor de la “cuota” correspondiente a cada turno fue variando con el tiempo en función de la vuelta en la que se encontraba ubicado el turno que era utilizado, incrementándose de manera progresiva conforme el valor referencial de los procesos de selección fue incrementándose en el tiempo. </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991. Evidencia del valor de las “cuotas” se observa de manera clara en medios probatorios como los JHS01, JHS02 y JHS03, correos electrónicos del 20 de mayo de 2014 en los que el señor José Heighes (Johesa) remite a los señores Néstor Martínez (JJC), Moisés Málaga (Constructora Málaga) y Mario Santana (Conalvías), respectivamente, un mismo archivo de Excel en el que se evalúan solicitudes de asignación de procesos planteadas por dos grupos de participantes del cártel (“Grupo 1” y "Grupo 2”), haciendo referencia expresa al valor de la “cuota’’ correspondiente a los turnos de la sexta vuelta (80 millones), séptima vuelta (120 millones) y octava vuelta (120 millones).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Cabe precisar que en dos de estas comunicaciones (JHS02 y JHS03), el señor José Heighes indica a los señores Moisés Málaga (JHS02) y Mario Santana (JHS03) que el contenido del archivo remitido fue coordinado con ellos en la mañana del 20 de mayo de 2014.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992. Referencia a la existencia de estas “cuotas” se verifica igualmente de las declaraciones de los señores Marco Aranda (Cosapi) y Fernando Carnet605 (JJC), quienes confirman estas corresponden al valor monetario al que los integrantes del cártel tenían derecho a contratar como consecuencia de la utilización de su turno, detallando el señor Marco Aranda que el valor de las “cuotas” en la concertación iniciaron en el rango de entre 20 a 30 millones de soles, para luego pasar a un rango de entre 50 a 60 millones de soles, 60 a 80 millones de soles y, finalmente, a 120 millones de soles.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993. Otras referencias a las “cuotas” que poseían los turnos en el marco del cártel se  aprecian en el caso de las evidencias JCCG02 y OHL03, en las cuales se  observan cuadros que registran la asignación de procesos en el marco de la concertación. Así, se verifica que el primero de estos (JCCG02) hace mención a la “cuota" de 120 millones de soles al momento de evaluar si se consideraba que un proceso había sido asignado con un turno de la séptima vuelta, mientras que el segundo de estos (OHL03) presenta un encabezado en el que las columnas correspondientes a cada vuelta son tituladas con referencias a los montos de las “cuotas” vinculadas a sus turnos, señalando las cifras 20, 20, 50, 50, 80, 80 y 120 para la primera, segunda, tercera, cuarta, quinta, sexta y séptima vuelta, respectivamente. </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994. A partir de estos medios probatorios, se observa de manera general que los turnos presentes en el marco del sistema de reparto presentaron aproximadamente las siguientes ''cuotas" en función de la vuelta del cártel de la que provenían: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Cuotas aplicables a los turnos en el marco de la concertación (en millones de soles)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1 Primera Vuelta Segunda Vuelta Tercera Vuelta Cuarta Vuelta Quinta Vuelta Sexta Vuelta Séptima Vuelta Octava Vuelta 1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Primera cuota: 20 a 30 </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Segunda cuota: 20 a 30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Tercera cuota: 50 a 60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Cuarta cuota: 50 a 60</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Quinta cuota: 60 a 80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Sexa cuota: 60 a 80</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Sétima cuota: 120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Octava cuota: 120* </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Cuota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*Cuota aplicable a turnos de vueltas posteriores a la octava. </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Elaboración: Comisión de Defensa de la Libre Competencia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iv. “Prelación” </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995. Vinculado fuertemente a las características previas, el término “prelación” refiere a la diferencia en prioridad que poseían los turnos de distintas vueltas al momento de solicitar la asignación de un proceso en la concertación, pauta que generaba que una solicitud que utilizara un turno de una vuelta menor (p.e. cuarta vuelta) tenga mayor preferencia para una obra frente a otra solicitud de asignación que tenga únicamente turnos de vueltas posteriores (p.e. quinta vuelta). </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996. Esta característica, al diferenciar entre los turnos de cada vuelta, permitía a los integrantes del cártel establecer un orden de "prelación” entre empresas que ya se habían beneficiado con turnos en el cártel y aquellas que no, dando prioridad a estas últimas al quedar pendiente que se beneficien de obras en el marco del cártel.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997. La aplicación de una “prelación” en el sistema de reparto se observa en evidencias como la GYM03, GYM04, SMC07 y JHS04, en las que se verifica referencia a la existencia de esta pauta de prioridad por parte de distintos integrantes del cártel.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998. La evidencia GYM03, correo electrónico del 4 de agosto de 2009 entre el señor Nicolay Castillo (GyM) y Hernando Grana (GyM), constituye un primer medio probatorio en el que se observa de manera explícita la existencia de la "prelación" en la concertación, identificándose que, bajo el asunto “orden de prelación”, el señor Nicolay Castillo (GyM) comunica al señor Hernando Graña (GyM) la información vinculada al cártel que recibió del anterior representante de GyM en la concertación (Jaime Crosby), encontrándose en ella el orden de prioridad que tenían algunas empresas para la asignación de obras {“1. GyM”, “2. Tizón”, “3. Cosapi” y “4. Iccgsa”) y el detalle de algunos miembros del cártel que se habían beneficiado con la asignación de obras o el uso de turnos previamente (Queiroz Galvao, Andrade Gutiérrez, SVC/Obrainsa, Enerqoprojekt y Grupo Odebrecht), sugiriendo además reunirse con la representante de Mota Engil Perú en la concertación (Norma Zeppilli) para obtener mayor información al respecto. </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999. La evidencia GYM04, correo electrónico del 9 de mayo de 2014 entre el señor Nicolay Castillo (GyM) y Hernando Graña (GyM), permite igualmente identificar otra referencia a la ‘'prelación" presente en el marco del sistema de reparto, afirmándose que el 16 de mayo de 2014 se realizaría una reunión con representantes de 30 integrantes del cártel en la que se verían, entre otros temas, el “orden de prelación”, y el “sistema de asignación” existente. </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GYM04 </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«De: Nicolay Castillo Gutzalenko [GyM] </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Para: HernandoGraña [GyM]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Fecha: Viernes, 9 de mayo de 201408:29p.m.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Asunto: Temas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Hernando </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Los temas q se discutirán la sgte semana serán </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1 orden de prelación </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2 representantes, un grupo la semana pasada en reunión privada propondría q se designen nuevos representantes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3 sistema de asignación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A parecer serían dos los reps q estaríamos moviendo en tema con otros respecto a cambios q se quieren hacer. Personalmente este tema no me atrae no sólo por FCPAsino porque e demanda mucho tiempo y aún sigo trabajando sólo en mis temas </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Lo q no atrae mucho es que quieren hacer la reunión en un hotel con un total de 30 reps el próximo viernes. </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Mañana te llamo para contarte un poco más en detalle NC» </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1000. La evidencia SMC07, cadena de correos electrónicos del 20 y 21 de mayo de 2013, también presenta otra referencia ilustrativa a la "prelación" existente en la concertación, observándose que el señor Julián Siucho (San Martín), luego de recibir la información de que JJC postularía solo a la LP 33-2012/MTC/20 (San Marcos - Cajabamba), señala que le resultaría conveniente a JJC usar la “prelación” de San Martín para solicitar la asignación de esta carretera (“ahora lo conveniente para jjc es tratar de usar nuestra prelación para pedir la carretera”). </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[Continúa en la siguiente página]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SMC07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«De: Néstor Martínez Lévano [JJC] </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Para: Efraín García Polo Urbina [San Martín] </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CC: Luis Flores [San Martín]; Lucy Arroyo Aguilar [JJC] ; Fernando Carnet Piccone [JJC]; Julián Siucho Dextre [San Martín]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Fecha: Lunes, 2Ode mayo de 2013 ll:56p.m. </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Asunto: RE: SAn </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JJC irá solo. </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Saludos, </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NÉSTOR MARTÍNEZ L. </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Gerente Comercial </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De: Julián Siucho Dextre [San Martín]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Para: Efraín García Polo Urbina [San Martín] </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CC: Luis Flores [San Martín]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Fecha: Martes, 21 de mayo de 2013 00:11 a.m. </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Asunto: Re: SAn </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No respondan. </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Ya Los sacaron a los johesa ahora lo conveniente para jjc es tratar de usar nuestra prelacion para pedir la carretera (es lo q le conviene producto de la casualidad q se le presenta), ahí debería devolvernos lo q nos debe de ayacucho abancay, mas el 30 de este subcontrato, estoy esperando q Fernando me confirme esta posición para nosotros. </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J»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[Énfasis agregado]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1001 .Finalmente, la evidencia JHS04, cadena de correos electrónicos del 7 y 10 de febrero de 2014 entre los señores José Heighes (Johesa) y Luis Flores (San Martín), permite identificar una mención adicional a la “prelacion" en la concertación y al orden que conllevaba en la misma, afirmando el señor José Heighes que los integrantes del cártel interesados en la LP 5-2014-MTC/20 (“punta pombón”) se encontraban “muy por delante en posición".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[Continúa en la siguiente página] </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JHS04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«De: José Heighes [Johesa] </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Para: Luis Flores Mancera[San Martín]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Fecha: Viernes, 07 de febrero de 2014 6:28 p.m.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Asunto: Obra carreteras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Luis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Esto es lo q va a salir del MTC este año: </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Huancavelica - Lircay 360mill </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Puerto Zungaro - ciudad constitución 250mill Ciudad constitución - Dv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Puerto Bermúdez 220mil Punta bombón - el arenal 445mill Mayocc - </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pampas 205mill </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Como ves no hay mucho, así q tenemos q ser ingeniosos para q salga algo interesante.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Una buena alternativa creoq sería juntarnos con upaca y Reyna, y buscar contratar huancavelica. Otra opción es subir al mismo grupo a Mota y buscar contratar las 2 de ciudad constitución. Juntémonos la próxima semana e ideemos una estrategia. </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Saludos,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José Heighes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De: José Heighes [Johesa]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Para: Luis Flores Mancera [San Martín] </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Fecha: Viernes, 07 de febrero de 2014 08:26 p.m. </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Asunto: Re: Obra carreteras </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Otra buena opción es el la de punta bombón ir con Mota, upaca y Reyna, los interesados ahí están muy por delante en posición.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Saludos, </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José Heighes </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De: Luis Flores Mancera [San Martín] </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Para: José Heighes [Johesa] </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Fecha: Lunes, 10 de febrero de 2014 08:31 a.m. </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Asunto: RE: Obra carreteras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Pepe, te comento que salgo hoy de viaje porta noche y regreso el jueves por la noche. ¿¿Te parece si nos reunimos el viernes a desayunar para comentar estos temas?? Podría ser en algún lugar que te quede de pasada para tu oficina. </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Saludos, </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De: José Heighes [Johesa] </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Para: Luis Flores Mancera [San Martín]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Fecha: Lunes, 10 de febrero de 201411:48a.m. </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Asunto: RE: Obra carreteras </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Ok viernes desayuno seria perfecto.» </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1002. Estas evidencias resultan consistentes con el significado de la prelación en la concertación observado en las declaraciones de Marco Aranda (Cosapi), Fernando Carnet (JJC) y Norma Zeppilli (Mota Engil Perú), constatándose que esta era entendida como: i) el consenso sobre la prioridad entre las empresas para la asignación de obras (Marco Aranda607); ii) parte de los criterios para determinar a qué empresa le correspondía la asignación de un proceso (Fernando Carnet608); y, iii) un parámetro tomado en las negociaciones para determinar qué empresas ya habían tenido "trabajo” y cuales no (Norma Zeppilli). </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v. “Acompañante” </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1003.Finalmente, el término “acompañante” refiere en la concertación a aquellas integrantes del cártel que participaban simulando la existencia de competencia en los procesos asignados a otros miembros del cártel, formulando para ello propuestas de apoyo. Estas propuestas se caracterizaban dentro del cártel por ser: i) propuestas deliberadamente erróneas; ¡i) propuestas con valores económicos mayores a las de quien debía de beneficiarse del proceso; o, iii) propuestas que implicaban no presentar documentos en una segunda etapa del procedimiento. </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1004. La existencia de estas propuestas por parte de los "acompañantes" (en adelante, propuestas de acompañamiento), se observa de manera clara de las afirmaciones de los señores Fernando Carnet611 (JJC) y Néstor Martínez612 (JJC), quienes, además de reconocer la conducta imputada613, indicaron en sus declaraciones previas que los “acompañantes” en la concertación eran aquellas empresas que presentaban propuestas de apoyo a favor de quien se beneficiaría con el proceso, precisando que estas empresas eran usualmente seleccionadas por quién obtendría la obra debido a la confianza existente, recibiendo de ella la cifra que presentarían en su oferta económica. </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1005. Estas declaraciones concuerdan con el propio listado de propuestas de acompañamiento correspondiente a JJC (evidencia JJC01), presentado por el señor Fernando Carnet (JJC), en el cual se verifica que aquellos procedimientos en los que se señala que JJC se desempeñó como “acompañantes" implicaron la presentación de ofertas que: i) fueron descalificadas614; ¡i) presentaron valores mayores a la oferta económica de quien debía de beneficiarse del proceso615; o, iii) implicaron que JJC se abstenga de presentar ofertas económicas y técnicas luego de haber precalificado616. </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1006. Otra referencia al desenvolvimiento de los "acompañantes” se constata de manera similar en las afirmaciones brindadas por el señor Marco Aranda (Cosapi) en su escrito del 28 de agosto de 2021, quien señala que los “acompañantes" eran empresas elegidas por quien debía de ganar el proceso a efectos de que lo apoyen acompañándolo en el proceso asignado, detallando que los integrantes del cártel podían aceptar o rechazar este papel dependiendo de la carga que tuviera su personal. </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1007. Estas afirmaciones también resultan consistes con el propio listado de acompañamientos concretados por Cosapi, presentado por el señor Marco Aranda (evidencia CSP18), identificándose al igual que en el caso de JJC propuestas de acompañamiento que implicaron: i) ser descalificadas617; ¡i) presentar valores mayores a la oferta económica de quien debía de beneficiarse del proceso618; o, iii) que Cosapi se abstenga de presentar ofertas económicas y técnicas luego de haber precalificado619. </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Este listado también permite verificar una mención clara a que, por lo menos, en 21 procesos asignados en el sistema de reparto, Cosapi presentó sus propuestas de acompañamiento en virtud de solicitudes realizadas por las empresas que posteriormente se adjudicaron los procesos, al señalar adicionalmente que en otros 3 procesos se presentaron propuestas de apoyo a una empresa distinta a la que se adjudicó la obra, aspecto que refleja que estas últimas (CASA, Aramsa, Iccgsa, GyM, JJC, Obrainsa, E. Reyna, Grupo OHL, Queiroz Galvao, Camargo Correa, Grupo Plaza, Conalvías, Energoprojekt, Superconcreto, Altesa, Eivisac, Constructora Málaga, Andrade Gutiérrez, CyM, Johesa y Upacá) hicieron este tipo de peticiones en la concertación. </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[Continúa en la página siguiente] </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1008. La existencia de estas propuestas de acompañamiento, así como las coordinaciones para su concreción, se pueden observar igualmente en evidencias como la SMC08, JHS32, JHS33, GYM34 y GYM01, en las que se constatan contactos orientados a coordinar la realización de estas propuestas dentro del sistema de reparto. </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1009.La evidencia SMC08, cadena de correos electrónico del 18 de octubre de 2013 al interior de San Martín, permite observar un primer ejemplo de esta situación, verificándose que el señor Efrain García Polo (San Martín) hace referencia en ella a que con motivo de la LPI 1-2013/MTC/20 coordinó con dos empresas la presentación de propuestas para simular la existencia de otros postores competidores y evitar problemas en la obtención del proceso (“para asegurar la terna se habló con otras 2 empresas para que presenten oferta y eliminar el riesgo de que se declare "proceso vacío" por falta de postores’^, así como a la posibilidad de que San Martín también realice ello aparentando llegar tarde ("se acordó que SM iría a presentar su propuesta pasada la hora establecida para que nos la rechacen”), señalando que este tipo de escenarios era como un “juego de ajedrez” en el debían estar preparados para realizar “jugadas sorpresa de último minuto”.</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SMC08 </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«De: Eduardo Romero Indacochea [San Martín] </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Para: Efraín García Polo Urbina [San Martín] </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Fecha: Viernes, 18 de octubre de 2013 07:22 a.m. </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Asunto: Re: Poder simple </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Efraín, </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Nuevamente me pides algo a ultima hora maestro.Yo tengo PDL en el PAD desde temprano hoy y Fernando, como bien sabes, esta de viaje. Deberás encargarte de este tema por tu cuenta o coordinar con alguien de mi equipo para que te den una mano. </w:t>
      </w:r>
    </w:p>
    <w:p w:rsidR="00000000" w:rsidDel="00000000" w:rsidP="00000000" w:rsidRDefault="00000000" w:rsidRPr="00000000" w14:paraId="0000014A">
      <w:pPr>
        <w:widowControl w:val="0"/>
        <w:spacing w:after="0" w:line="360" w:lineRule="auto"/>
        <w:jc w:val="both"/>
        <w:rPr/>
      </w:pPr>
      <w:r w:rsidDel="00000000" w:rsidR="00000000" w:rsidRPr="00000000">
        <w:rPr>
          <w:rtl w:val="0"/>
        </w:rPr>
        <w:t xml:space="preserve">Slds, </w:t>
      </w:r>
    </w:p>
    <w:p w:rsidR="00000000" w:rsidDel="00000000" w:rsidP="00000000" w:rsidRDefault="00000000" w:rsidRPr="00000000" w14:paraId="0000014B">
      <w:pPr>
        <w:widowControl w:val="0"/>
        <w:spacing w:after="0" w:line="360" w:lineRule="auto"/>
        <w:jc w:val="both"/>
        <w:rPr/>
      </w:pPr>
      <w:r w:rsidDel="00000000" w:rsidR="00000000" w:rsidRPr="00000000">
        <w:rPr>
          <w:rtl w:val="0"/>
        </w:rPr>
        <w:t xml:space="preserve">ER. </w:t>
      </w:r>
    </w:p>
    <w:p w:rsidR="00000000" w:rsidDel="00000000" w:rsidP="00000000" w:rsidRDefault="00000000" w:rsidRPr="00000000" w14:paraId="0000014C">
      <w:pPr>
        <w:widowControl w:val="0"/>
        <w:spacing w:after="0" w:line="360" w:lineRule="auto"/>
        <w:jc w:val="both"/>
        <w:rPr/>
      </w:pPr>
      <w:r w:rsidDel="00000000" w:rsidR="00000000" w:rsidRPr="00000000">
        <w:rPr>
          <w:rtl w:val="0"/>
        </w:rPr>
        <w:t xml:space="preserve">De: Eduardo Romero Indacochea [San Martín] </w:t>
      </w:r>
    </w:p>
    <w:p w:rsidR="00000000" w:rsidDel="00000000" w:rsidP="00000000" w:rsidRDefault="00000000" w:rsidRPr="00000000" w14:paraId="0000014D">
      <w:pPr>
        <w:widowControl w:val="0"/>
        <w:spacing w:after="0" w:line="360" w:lineRule="auto"/>
        <w:jc w:val="both"/>
        <w:rPr/>
      </w:pPr>
      <w:r w:rsidDel="00000000" w:rsidR="00000000" w:rsidRPr="00000000">
        <w:rPr>
          <w:rtl w:val="0"/>
        </w:rPr>
        <w:t xml:space="preserve">Para: Efraín García Polo Urbina [San Martín] </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Fecha: Viernes, 18 de octubre de 2013 07:30 a.m. </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Asunto: Re: Poder simple </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Ademas, se habla quedado en que JOHESA seria quien entregue la propuesta, no SM. No se pq ahora esto ha cambiado. </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De: Efraín García Polo Urbina [San Martín] </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Para: Eduardo Romero Indacochea [San Martín] </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Fecha: Viernes, 18 de octubre de 2013 08:48 a.m. </w:t>
      </w:r>
    </w:p>
    <w:p w:rsidR="00000000" w:rsidDel="00000000" w:rsidP="00000000" w:rsidRDefault="00000000" w:rsidRPr="00000000" w14:paraId="00000154">
      <w:pPr>
        <w:widowControl w:val="0"/>
        <w:spacing w:after="0" w:line="360" w:lineRule="auto"/>
        <w:jc w:val="both"/>
        <w:rPr/>
      </w:pPr>
      <w:r w:rsidDel="00000000" w:rsidR="00000000" w:rsidRPr="00000000">
        <w:rPr>
          <w:rtl w:val="0"/>
        </w:rPr>
        <w:t xml:space="preserve">Asunto:RE: Podersimple </w:t>
      </w:r>
    </w:p>
    <w:p w:rsidR="00000000" w:rsidDel="00000000" w:rsidP="00000000" w:rsidRDefault="00000000" w:rsidRPr="00000000" w14:paraId="00000155">
      <w:pPr>
        <w:widowControl w:val="0"/>
        <w:spacing w:after="0" w:line="360" w:lineRule="auto"/>
        <w:jc w:val="both"/>
        <w:rPr/>
      </w:pPr>
      <w:r w:rsidDel="00000000" w:rsidR="00000000" w:rsidRPr="00000000">
        <w:rPr>
          <w:rtl w:val="0"/>
        </w:rPr>
        <w:t xml:space="preserve">Así es el business Doc, esto surgió anoche y recién saltó lo del poder pasadas las lOpm. Nosotros también hemos tenido que correr con otras gestiones pero no te preocupes que ya está resuelto. Es correcto que JOHESA va a participar y para asegurar la terna se habló con otras 2 empresas para que presenten oferta y eliminar el riesgo de que se declare "proceso vacío11 por falta de postores, sin embargo anoche una de esas empresas desistió y para asegurar la terna se acordó que SM iría a presentar su propuesta pasada la hora establecida para que nos la rechacen y que quede constancia de una tercera oferta que completaría la terna. El poder era solo para poder llevar el paquete pero no íbamos a dejar nada... es un juego de aledrez y hay que estar siempre listos para jugadas sorpresa de último minuto. </w:t>
      </w:r>
    </w:p>
    <w:p w:rsidR="00000000" w:rsidDel="00000000" w:rsidP="00000000" w:rsidRDefault="00000000" w:rsidRPr="00000000" w14:paraId="00000156">
      <w:pPr>
        <w:widowControl w:val="0"/>
        <w:spacing w:after="0" w:line="360" w:lineRule="auto"/>
        <w:jc w:val="both"/>
        <w:rPr/>
      </w:pPr>
      <w:r w:rsidDel="00000000" w:rsidR="00000000" w:rsidRPr="00000000">
        <w:rPr>
          <w:rtl w:val="0"/>
        </w:rPr>
        <w:t xml:space="preserve">Luego te cuento con mas detalle.  </w:t>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[Énfasis agregado] </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1010. Las evidencias JHS32 y JHS33, que contienen comunicaciones del 1 de octubre de 2015 entre Johesa y San Martín (JHS32) y al interior de Johesa (JHS33), permiten por su parte constatar coordinaciones de integrantes del cártel en las que se encontraban calculando los parámetros que debía cumplir la oferta económica que quedaría en segundo lugar al desempeñarse como "acompañante” en la LP 2-2015/MTC/20, consistentes en encontrarse a una distancia de no menos de S/ 1 700 000,00 sobre el postor asignado y ser superior a S/ 389 150 000,00, verificándose que estas pautas se cumplen en este proceso para el caso de los postores que quedaron en segundo (CASA - S/ 389 666 141,50) y tercer lugar (Iccgsa/GyM - S/390 482 378,18). </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1011. Finalmente, las evidencias GYM34y GYM01, comunicaciones al interior de GyM del 12, 13 y 21 de noviembre de 2012, constituyen una muestra de aquellas situaciones en que integrantes del cártel, luego de haber sido invitados a ser “acompañantes”, optan por no aceptar formular propuestas de acompañamiento debido a que se encontraban ocupados en otras actividades, resaltando en GyM la existencia de reclamos internos por la necesidad de evaluar el presupuesto de la LP 23-2012/MTC/20 ("Pangoa - Puerto Ocopa") cuando este proceso ya había sido asignado a otro integrante del cártel (“no toca”). </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GYM34 </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«De: Nicolay Castillo Gutzalenko [GyM] </w:t>
      </w:r>
    </w:p>
    <w:p w:rsidR="00000000" w:rsidDel="00000000" w:rsidP="00000000" w:rsidRDefault="00000000" w:rsidRPr="00000000" w14:paraId="0000015C">
      <w:pPr>
        <w:widowControl w:val="0"/>
        <w:spacing w:after="0" w:line="360" w:lineRule="auto"/>
        <w:jc w:val="both"/>
        <w:rPr/>
      </w:pPr>
      <w:r w:rsidDel="00000000" w:rsidR="00000000" w:rsidRPr="00000000">
        <w:rPr>
          <w:rtl w:val="0"/>
        </w:rPr>
        <w:t xml:space="preserve">Para: LuisVinatea [GyM] </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Fecha: Lunes, 12 de noviembre de 2012 06:01 p.m. </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Asunto: RV: CALENDARIO PANGOA PUETO OCOPA </w:t>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Alguna novedad de iccgsa? </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De: Luis Vinatea [GyM] </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Para: Nicolay Castillo Gutzalenko [GyM] </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CC: Rodolfo Sotelo [GyM] </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Fecha: Martes, 13 de noviembre de 2012 10:S5a.m. </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Asunto: RE: CALENDARIO PANGOA PUETO OCOPA </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No que yo sepa </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Alguna novedad Rodolfo? </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LVV </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De: Rodolfo Sotelo [GyM] </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Para: LuisVinatea [GyM], Nicolay Castillo Gutzalenko[GyM] </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Fecha: Martes, 13 de noviembre de 201212:43 p.m. </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Asunto: RE: CALENDARIO PANGOA PUETO OCOPA </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Nico, según tu maestro y guía ( HGA) dice que no toca. </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Asi que no j.....» </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GYM31 </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«De: Nicolay Castillo Gutzalenko [GyM] </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Para: Rodolfo Sotelo [GyM] </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Fecha: Miércoles, 21 de noviembre de 2012 08:04a.m. </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Asunto: Provisional: RV: Carretera Pto ocopa -Pangoa </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Si no nos toca el turno, para que revisamos el ppto? </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Salvo q HGA cambiara de opiniyny </w:t>
      </w:r>
    </w:p>
    <w:p w:rsidR="00000000" w:rsidDel="00000000" w:rsidP="00000000" w:rsidRDefault="00000000" w:rsidRPr="00000000" w14:paraId="00000175">
      <w:pPr>
        <w:widowControl w:val="0"/>
        <w:spacing w:after="0" w:line="360" w:lineRule="auto"/>
        <w:jc w:val="both"/>
        <w:rPr/>
      </w:pPr>
      <w:r w:rsidDel="00000000" w:rsidR="00000000" w:rsidRPr="00000000">
        <w:rPr>
          <w:rtl w:val="0"/>
        </w:rPr>
        <w:t xml:space="preserve">Dejame ver si no se cruza con Muelle Norte que es proyecto prioritatío en estos momentos NC» </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[Énfasis agregado] </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1012 .En el caso de GyM, la coordinación para realizar propuestas de acompañamiento se puede verificar igualmente en las declaraciones del señor Juan Manuel Labarri, gerente general de GyM (evidencia GYM05), en las que se señala que GyM presentó propuestas de acompañamiento en diversos procesos de selección, así como del reconocimiento realizado por el señor Hernando Graña, miembro del directorio de GyM, respecto de su participación en la concertación -conforme a los términos de la imputación de cargos de la Resolución de Inicio, el cual comprende las propuestas presentadas por GyM a lo largo de la conducta para apoyar a los  integrantes del cártel.. </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1013 . Otro documento que permite verificar el desenvolvimiento de empresas del cártel como "acompañantes” se encuentra constituido por la evidencia OBN10, documento presentado por Obrainsa en el que se detalla un listado de aquellos procesos en los que esta empresa, conjuntamente con sus consorciadas, participó presentando ofertas de acompañamiento debido a la concertación existente con otras empresas. </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En este documento, al igual que en acompañamientos identificados en evidencias anteriores, se puede constatar que las propuestas de apoyo realizadas implicaron que estas: i) sean descalificadas; ii) presenten valores mayores a la oferta económica de quien se debía beneficiar del proceso; o, iii) que Obrainsa se  </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abstenga de presentar ofertas económicas y técnicas luego de haber precalificado. </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1014. Finalmente, una referencia adicional a la existencia de las propuestas de acompañamiento se aprecia de las afirmaciones brindadas por la señora Norma Zeppilli (Mota Engil Perú), quien refiere en su escrito del 15 de diciembre de 2020 (evidencia MEP01) que este tipo de propuestas de apoyo se planteaban una vez definida la empresa o empresas que se beneficiarían del proceso materia de asignación, teniendo como uno de sus objetivos el garantizar la existencia de pluralidad de postores625. </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Esta mención, junto con el reconocimiento de la integridad de la conducta realizado por la señora Norma Zeppilli y Mota Engil Perú -conforme a los términos de la imputación de cargos de la Resolución de Inicio-, permite comprobar que las propuestas presentadas por Mota Engil Perú en procesos asignados a otros integrantes del cártel siguieron la misma lógica, siendo propuestas de acompañamiento cuya realización ha sido aceptada por la propia Mota Engil Perú626. </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1015. Los medios probatorios antes analizados permiten a esta Comisión constatar que el sistema de reparto imputado implicó dentro de sus características que sus integrantes puedan apoyar con ofertas de cortesía o resguardo a las empresas que debían de beneficiarse de cada proceso, las cuales se daban a solicitud de estas últimas y se caracterizaban por: i) ser descalificadas; ¡i) presentar valores mayores a la oferta económica de quien debía de beneficiarse del proceso; o, ¡ii) implicar que miembros del cártel se abstengan de presentar ofertas económicas y técnicas luego de haber precalificado. </w:t>
      </w:r>
    </w:p>
    <w:p w:rsidR="00000000" w:rsidDel="00000000" w:rsidP="00000000" w:rsidRDefault="00000000" w:rsidRPr="00000000" w14:paraId="0000017E">
      <w:pPr>
        <w:widowControl w:val="0"/>
        <w:spacing w:after="0" w:line="360" w:lineRule="auto"/>
        <w:jc w:val="both"/>
        <w:rPr/>
      </w:pPr>
      <w:r w:rsidDel="00000000" w:rsidR="00000000" w:rsidRPr="00000000">
        <w:rPr>
          <w:rtl w:val="0"/>
        </w:rPr>
        <w:t xml:space="preserve">7.1.3. Contabilidad de la concertación llevada por las empresas participantes </w:t>
      </w:r>
    </w:p>
    <w:p w:rsidR="00000000" w:rsidDel="00000000" w:rsidP="00000000" w:rsidRDefault="00000000" w:rsidRPr="00000000" w14:paraId="0000017F">
      <w:pPr>
        <w:widowControl w:val="0"/>
        <w:spacing w:after="0" w:line="360" w:lineRule="auto"/>
        <w:jc w:val="both"/>
        <w:rPr/>
      </w:pPr>
      <w:r w:rsidDel="00000000" w:rsidR="00000000" w:rsidRPr="00000000">
        <w:rPr>
          <w:rtl w:val="0"/>
        </w:rPr>
        <w:t xml:space="preserve">1016. Una tercera particularidad que esta Comisión aprecia en la conducta imputada se  encuentra constituida por la verificación de que las empresas integrantes del cártel procedían en algunos casos a llevar, con mayor o menor precisión, una contabilidad de los turnos y procesos asignado en el marco del cártel, la cual se  relaciona con la necesidad de contar con esta información para poder aplicar algunas de las pautas previamente señaladas. </w:t>
      </w:r>
    </w:p>
    <w:p w:rsidR="00000000" w:rsidDel="00000000" w:rsidP="00000000" w:rsidRDefault="00000000" w:rsidRPr="00000000" w14:paraId="00000180">
      <w:pPr>
        <w:widowControl w:val="0"/>
        <w:spacing w:after="0" w:line="360" w:lineRule="auto"/>
        <w:jc w:val="both"/>
        <w:rPr/>
      </w:pPr>
      <w:r w:rsidDel="00000000" w:rsidR="00000000" w:rsidRPr="00000000">
        <w:rPr>
          <w:rtl w:val="0"/>
        </w:rPr>
        <w:t xml:space="preserve">1017. El manejo de esta información se aprecia por ejemplo en el caso de Cosapi, CyM, Grupo OHL y Johesa, observándose en evidencias como la JCCG02, CSP03, CYM01, OHL03 y JHS05 su manejo de la contabilidad de turnos y procesos relacionada a la concertación.</w:t>
      </w:r>
    </w:p>
    <w:sectPr>
      <w:footerReference r:id="rId7" w:type="default"/>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4A470B"/>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4A470B"/>
  </w:style>
  <w:style w:type="paragraph" w:styleId="Piedepgina">
    <w:name w:val="footer"/>
    <w:basedOn w:val="Normal"/>
    <w:link w:val="PiedepginaCar"/>
    <w:uiPriority w:val="99"/>
    <w:unhideWhenUsed w:val="1"/>
    <w:rsid w:val="004A470B"/>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4A470B"/>
  </w:style>
  <w:style w:type="paragraph" w:styleId="Prrafodelista">
    <w:name w:val="List Paragraph"/>
    <w:basedOn w:val="Normal"/>
    <w:uiPriority w:val="34"/>
    <w:qFormat w:val="1"/>
    <w:rsid w:val="00C62579"/>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7Ni6bri2Fok/Luhzre4WZD1GOg==">CgMxLjAyDmgucjAwbDZsOWp0b3B4MghoLmdqZGd4czgAciExYl9UbGdiU3JKeXVJLUVQbUczVTQyOEo5NmFMOWhLWDY=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2024-05-29T05:07:00Z</dcterms:created>
  <dc:creator>Elvis Montero Pedroso</dc:creator>
</cp:coreProperties>
</file>