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i w:val="1"/>
        </w:rPr>
      </w:pPr>
      <w:r w:rsidDel="00000000" w:rsidR="00000000" w:rsidRPr="00000000">
        <w:rPr>
          <w:rtl w:val="0"/>
        </w:rPr>
        <w:t xml:space="preserve">Tribunal de defensa de la competencia y de la propiedad intelectual. (2008). </w:t>
      </w:r>
      <w:r w:rsidDel="00000000" w:rsidR="00000000" w:rsidRPr="00000000">
        <w:rPr>
          <w:i w:val="1"/>
          <w:rtl w:val="0"/>
        </w:rPr>
        <w:t xml:space="preserve">Resolución N°. 0004-2008/TDC del 3 de enero de 2008. Revocar la Resolución 021-2007/CLC del 21 de marzo de 2007 que declaró improcedente la denuncia interpuesta por Envasadora Alfa Gas S.A. contra Repsol YPF Comercial del Perú S.A. por presunto abuso de posición de dominio.</w:t>
      </w:r>
    </w:p>
    <w:p w:rsidR="00000000" w:rsidDel="00000000" w:rsidP="00000000" w:rsidRDefault="00000000" w:rsidRPr="00000000" w14:paraId="00000002">
      <w:pPr>
        <w:widowControl w:val="0"/>
        <w:spacing w:after="0" w:line="360" w:lineRule="auto"/>
        <w:jc w:val="both"/>
        <w:rPr/>
      </w:pPr>
      <w:r w:rsidDel="00000000" w:rsidR="00000000" w:rsidRPr="00000000">
        <w:rPr>
          <w:rtl w:val="0"/>
        </w:rPr>
      </w:r>
    </w:p>
    <w:p w:rsidR="00000000" w:rsidDel="00000000" w:rsidP="00000000" w:rsidRDefault="00000000" w:rsidRPr="00000000" w14:paraId="00000003">
      <w:pPr>
        <w:widowControl w:val="0"/>
        <w:spacing w:after="0" w:line="360" w:lineRule="auto"/>
        <w:jc w:val="both"/>
        <w:rPr>
          <w:b w:val="1"/>
        </w:rPr>
      </w:pPr>
      <w:r w:rsidDel="00000000" w:rsidR="00000000" w:rsidRPr="00000000">
        <w:rPr>
          <w:b w:val="1"/>
          <w:rtl w:val="0"/>
        </w:rPr>
        <w:t xml:space="preserve">Inicio página 1</w:t>
      </w:r>
    </w:p>
    <w:p w:rsidR="00000000" w:rsidDel="00000000" w:rsidP="00000000" w:rsidRDefault="00000000" w:rsidRPr="00000000" w14:paraId="00000004">
      <w:pPr>
        <w:pStyle w:val="Heading1"/>
        <w:widowControl w:val="0"/>
        <w:spacing w:after="0" w:line="360" w:lineRule="auto"/>
        <w:jc w:val="both"/>
        <w:rPr/>
      </w:pPr>
      <w:bookmarkStart w:colFirst="0" w:colLast="0" w:name="_heading=h.3oi4z2g03exx" w:id="0"/>
      <w:bookmarkEnd w:id="0"/>
      <w:r w:rsidDel="00000000" w:rsidR="00000000" w:rsidRPr="00000000">
        <w:rPr>
          <w:rtl w:val="0"/>
        </w:rPr>
        <w:t xml:space="preserve">RESOLUCIÓN 0004-2008/TDC-INDECOPI</w:t>
      </w:r>
    </w:p>
    <w:p w:rsidR="00000000" w:rsidDel="00000000" w:rsidP="00000000" w:rsidRDefault="00000000" w:rsidRPr="00000000" w14:paraId="00000005">
      <w:pPr>
        <w:widowControl w:val="0"/>
        <w:spacing w:after="0" w:line="360" w:lineRule="auto"/>
        <w:jc w:val="both"/>
        <w:rPr/>
      </w:pPr>
      <w:r w:rsidDel="00000000" w:rsidR="00000000" w:rsidRPr="00000000">
        <w:rPr>
          <w:rtl w:val="0"/>
        </w:rPr>
        <w:t xml:space="preserve">EXPEDIENTE 009-2006/CLC</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PROCEDENCIA COMISIÓN DE LIBRE COMPETENCIA</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DENUNCIANTE ENVASADORA ALFA GAS S.A.</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DENUNCIADO REPSOL YPF COMERCIAL DEL PERÚ S.A.</w:t>
      </w:r>
    </w:p>
    <w:p w:rsidR="00000000" w:rsidDel="00000000" w:rsidP="00000000" w:rsidRDefault="00000000" w:rsidRPr="00000000" w14:paraId="00000009">
      <w:pPr>
        <w:widowControl w:val="0"/>
        <w:tabs>
          <w:tab w:val="left" w:leader="none" w:pos="3697"/>
        </w:tabs>
        <w:spacing w:after="0" w:line="360" w:lineRule="auto"/>
        <w:jc w:val="both"/>
        <w:rPr/>
      </w:pPr>
      <w:r w:rsidDel="00000000" w:rsidR="00000000" w:rsidRPr="00000000">
        <w:rPr>
          <w:rtl w:val="0"/>
        </w:rPr>
        <w:t xml:space="preserve">MATERIA LIBRE COMPETENCIA ABUSO DE POSICIÓN DE DOMINIO</w:t>
        <w:tab/>
        <w:t xml:space="preserve"> </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ACTIVIDAD VENTA AL POR MAYOR DE COMBUSTIBLES SÓLIDOS, LÍQUIDOS Y GASEOSOS Y DE PRODUCTOS CONEXOS</w:t>
      </w:r>
    </w:p>
    <w:p w:rsidR="00000000" w:rsidDel="00000000" w:rsidP="00000000" w:rsidRDefault="00000000" w:rsidRPr="00000000" w14:paraId="0000000B">
      <w:pPr>
        <w:widowControl w:val="0"/>
        <w:spacing w:after="0" w:line="360" w:lineRule="auto"/>
        <w:jc w:val="both"/>
        <w:rPr>
          <w:color w:val="000000"/>
        </w:rPr>
      </w:pPr>
      <w:r w:rsidDel="00000000" w:rsidR="00000000" w:rsidRPr="00000000">
        <w:rPr>
          <w:color w:val="000000"/>
          <w:rtl w:val="0"/>
        </w:rPr>
        <w:t xml:space="preserve">Lima, 3 de enero de 2008 </w:t>
      </w:r>
    </w:p>
    <w:p w:rsidR="00000000" w:rsidDel="00000000" w:rsidP="00000000" w:rsidRDefault="00000000" w:rsidRPr="00000000" w14:paraId="0000000C">
      <w:pPr>
        <w:pStyle w:val="Heading1"/>
        <w:widowControl w:val="0"/>
        <w:spacing w:after="0" w:line="360" w:lineRule="auto"/>
        <w:jc w:val="both"/>
        <w:rPr/>
      </w:pPr>
      <w:bookmarkStart w:colFirst="0" w:colLast="0" w:name="_heading=h.7ulcmir5yn0f" w:id="1"/>
      <w:bookmarkEnd w:id="1"/>
      <w:r w:rsidDel="00000000" w:rsidR="00000000" w:rsidRPr="00000000">
        <w:rPr>
          <w:rtl w:val="0"/>
        </w:rPr>
        <w:t xml:space="preserve">ANTECEDENTES</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1. El 26 de octubre de 2006, Envasadora Alfa Gas S.A. (en adelante, Alfa Gas) denunció a Repsol YPF Comercial del Perú S.A. (en adelante, Repsol) por presunto abuso de posición de dominio, conducta tipificada en los artículos 3 y 5 del Decreto Legislativo 701, bajo las siguientes modalidades: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 negativa injustificada a contratar, tipificada en el literal a) del artículo 5 del Decreto Legislativo 701;</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(ii) la aplicación en las relaciones comerciales de condiciones desiguales para prestaciones equivalentes, que coloquen a unos competidores en situación de desventaja frente a otros, tipificada en el literal b) del artículo 5 del Decreto Legislativo 701;</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(iii) otros casos de efecto equivalente, conforme a lo establecido en el literal f) del artículo 5 del Decreto Legislativo 701.</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2. La denunciante señaló que, teniendo en su posesión los cilindros que sirven para envasar y comercializar gas licuado de petróleo (en adelante, GLP) rotulados con el logo de Repsol, requirió a esta última el canje de dichos cilindros por aquellos rotulados con el logo de Alfa Gas que tuviera en su poder. Pese a ello, Repsol se negó a llevar a cabo el canje requerido o, en su defecto, a pagarle el precio de mercado de los cilindros que Alfa Gas pretendía canjear, contraviniendo con ello lo dispuesto en el artículo 53 del Reglamento para la Comercialización de Gas Licuado de Petróleo (en adelante, el Reglamento), aprobado por Decreto Supremo 01-94-EM.</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3. Alfa Gas indicó que la conducta de Repsol la perjudicaba económicamente puesto que impedía que pudiera canjear los cilindros rotulados de Repsol o comercializar GLP en ellos, dado que no tenía un acuerdo de corresponsabilidad con dicha empresa, de conformidad con lo establecido en el artículo 49 del Reglamento, siendo que la Comisión de Represión de Competencia Desleal, por un lado, la había</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M-SDC-13/1E</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Inicio página 2</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sancionado por comercializar GLP en los envases rotulados de Repsol sin contar con dicho acuerdo y, por el otro, le había ordenado, como media complementaria, la inmovilización de 687 cilindros rotulados de Repsol que habían sido llenados con GLP. En tal sentido, solicitó a la Comisión, como medidas correctivas, lo siguiente: (i) poner fin a la inmovilización de los cilindros; (ii) autorizar la libre comercialización de GLP en cilindros con rótulo de Repsol; y (¡ii) otorgar los atributos inherentes al acuerdo de corresponsabilidad con Repsol.</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4. Mediante Resolución 021-2007/CLC del 21 de marzo de 2007, la Comisión declaró improcedente la denuncia interpuesta por Alfa Gas, pues consideró que las condiciones para el intercambio de cilindros entre empresas comercializadoras de GLP ya estaban reguladas por el Reglamento, por lo que debía primar la normativa específica del sector hidrocarburos sobre las normas de libre competencia. Así, ordenó poner en conocimiento de OSINERGMIN los hechos denunciados por ser el organismo competente para realizar la supervisión, fiscalización y sanción de las conductas que signifiquen un incumplimiento a las normas del sector hidrocarburos.</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5. El 24 de abril de 2007, Alfa Gas interpuso recurso de apelación contra la Resolución 021-2007/CLC sobre la base de los siguientes argumentos:</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 la Comisión tiene competencia exclusiva para conocer los hechos denunciados, puesto que no sólo se trata de un incumplimiento del Reglamento, sino que se produce mediante el abuso de la posición de dominio de Repsol;</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(ii) el abuso de posición de dominio debe ser determinado y combatido por el INDECOPI y no por el OSINERGMIN, los que tutelan bienes jurídicos diferentes;</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(¡ii) la competencia de la Comisión no puede ser negada, salvo la existencia de una norma expresa o un mandato judicial en ese sentido; y,</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(iv)</w:t>
        <w:tab/>
        <w:t xml:space="preserve">el Estado no ha regulado ninguna sanción para aquella empresa que se niegue a efectuar canjes de cilindros, sino únicamente establece la obligación de realizar los canjes.</w:t>
      </w:r>
    </w:p>
    <w:p w:rsidR="00000000" w:rsidDel="00000000" w:rsidP="00000000" w:rsidRDefault="00000000" w:rsidRPr="00000000" w14:paraId="0000001C">
      <w:pPr>
        <w:pStyle w:val="Heading1"/>
        <w:widowControl w:val="0"/>
        <w:spacing w:after="0" w:line="360" w:lineRule="auto"/>
        <w:jc w:val="both"/>
        <w:rPr/>
      </w:pPr>
      <w:bookmarkStart w:colFirst="0" w:colLast="0" w:name="_heading=h.ng2zmc3npnz1" w:id="2"/>
      <w:bookmarkEnd w:id="2"/>
      <w:r w:rsidDel="00000000" w:rsidR="00000000" w:rsidRPr="00000000">
        <w:rPr>
          <w:rtl w:val="0"/>
        </w:rPr>
        <w:t xml:space="preserve">ANÁLISIS</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6. La Resolución 022-2007/CLC declaró improcedente la denuncia interpuesta por Alfa Gas en el extremo referido a la presunta negativa de Repsol a efectuar el canje de cilindros rotulados con su logo y que Alfa Gas mantenía en su poder. La Comisión consideró que, de acuerdo con el principio de supletoriedad, no correspondía aplicar la</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Inicio página 3</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legislación de competencia dado que el régimen de intercambio de cilindros ya estaba normado por el Reglamento, siendo el OSINERGMIN la entidad encargada de velar por el cumplimiento de tal normativa.</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7. Contrariamente al planteamiento de la Comisión, la Sala considera que no cualquier regulación puede desplazar la aplicación de las políticas de competencia en su objetivo de proteger el proceso competitivo. Para comprender esta afirmación, resulta pertinente distinguir tres diferentes formas de intervención del Estado en la economía que tienen por objeto corregir las fallas de mercado: la regulación social, la regulación económica y las políticas de competencia.</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8. Fallas de mercado son situaciones en las cuales el derecho privado resulta insuficiente para lograr que el libre juego de la oferta y la demanda nos lleve a un máximo bienestar social, donde el excedente de los consumidores sea el máximo posible. Son típicas fallas de mercado las asimetrías de información, las externalidades, los bienes públicos y las restricciones monopólicas. Estas últimas, por su parte, pueden subclasificarse en monopolios naturales,</w:t>
        <w:tab/>
        <w:t xml:space="preserve">las conductas anticompetitivas (el abuso de la posición de dominio y las prácticas colusorias) y las estructuras de mercados anticompetitivas (mercados tan altamente concentrados que el proceso competitivo queda lesionado).</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9. La regulación social es el conjunto de instrumentos de política pública que, de manera ex ante, tiene por objeto minimizar las externalidades, corregir las asimetrías de información y reducir los costos</w:t>
        <w:tab/>
        <w:t xml:space="preserve">de transacción. Son ejemplos de este tipo de regulación, aunque en diferentes intensidades, las normas sobre zonificación y licencias de funcionamiento de establecimientos comerciales, las normas de tránsito y las que exigen que los vehículos automotores cumplan con determinados requisitos técnicos, las normas de protección del ambiente que establecen limitaciones en las emisiones de gases tóxicos, la obligación de obtener autorizaciones sanitarias para comercializar productos</w:t>
        <w:tab/>
        <w:t xml:space="preserve">de consumo humano, las exigencias de patrimonio mínimo para constituir bancos o compañías de seguros, etc.</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10. En términos generales, las regulaciones sectoriales de transporte, minería, educación o salud o la regulación del sistema financiero, bursátil, de seguros o de administración de fondos privados de pensiones, son ejemplos concretos de regulación social. En esta regulación, el Estado interviene ex ante sobre el establecimiento del negocio; las condiciones de calidad del producto, servicio o actividad; la</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Inicio página 4</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solvencia del negocio e; inclusive, respecto de la administración del negocio, como ocurre en el mercado de administradoras privadas de fondos de pensiones, donde las empresas no tienen absoluta libertad sobre el destino de sus inversiones. Obviamente la regulación social se manifiesta en diferentes intensidades: hay actividades que sólo requieren regulación del establecimiento (p.e. una sastrería), otras, además de lo anterior, requieren la regulación de estándares mínimos de calidad del producto (p.e. la fabricación de medicamentos), y en otras, además de las dos anteriores, es necesario fijar capitales sociales mínimos y se pone límite a las inversiones (p.e. los bancos). Es la intensidad de las externalidades negativas que puede producir una determinada actividad económica y el grado de asimetría informativa entre productores y consumidores lo que justifica el establecimiento de la regulación social.</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11. La regulación económica apunta a corregir la distorsión propia de los monopolios naturales. Hablamos de un monopolio natural cuando un producto o una gama de productos puede ser producida a un menor precio por una sola empresa que por dos o más, debido a lo que se conoce como “subactividad de costos”. De ahí que se afirme que estamos ante un monopolio natural cuando es más eficiente para la sociedad que un producto o servicio sea provisto por una sola empresa que por dos o más, pues esa sola empresa está en capacidad de producir a un menor precio que si dos o más lo hicieran en un entorno competitivo. La literatura económica suele indicar que es causa de la existencia de un monopolio natural la presencia de economías de escala, de ámbito o de densidad, así como la existencia de altos costos hundidos. En definitiva, son las barreras a la entrada, el que en el mercado haya una determinada demanda y que la empresa incumbente atienda la totalidad o un significativo porcentaje de dicha demanda, lo que define la presencia de un monopolio natural.</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12. Ejemplo de monopolio natural es la distribución y suministro de agua potable. Con la técnica actual, aún es más eficiente que dicha actividad sea realizada por una sola empresa que por dos o más. Se suelen encontrar monopolios naturales en las industrias de red de servicios públicos o infraestructura de transporte de uso público, tales como la transmisión y distribución de electricidad, agua potable o gas; la red portadora de telecomunicaciones; las carreteras y vías férreas, y los puertos y aeropuertos.</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13. Cuando estamos frente a un monopolio natural, la competencia no es posible, por lo que el Estado interviene para crear artificialmente condiciones de competencia. Esta es la particularidad de la regulación económica. Es un conjunto de instrumentos de política pública que, ex</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Inicio página 5</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ante, busca simular condiciones de competencia en un mercado donde, en principio, la competencia no es posible. Mediante la regulación económica, el Estado fija precios, ya sea el precio (tarifa) del servicio público domiciliario, el cargo de acceso a una facilidad esencial o cargo de interconexión. Es a través de esta fijación de precios que el Estado logra simular competencia, y luego introducir competencia, en una industria donde no sería posible la competencia si sólo rigiera el derecho privado.</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14. Un monopolio natural propio de las industrias de prestación de servicios públicos no sólo restringe la competencia, sino que también genera externalidades y tiene ventajas de información sobre los usuarios o clientes. De ahí que para controlar y evitar que abuse el monopolista, los organismos reguladores aplican tanto la regulación económica (fijación de precios de servicios domiciliarios y cargos de acceso a la red) como la social (regulan la calidad del servicio, aprueban cláusulas generales de contratación, etc.). En el Perú, los Organismos Reguladores de Servicios Públicos (OSIPTEL, OSINERGMIN, SUNASS y OSITRAN) aplican tanto la regulación económica como la regulación social.</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15. Las políticas de competencia, por su parte, actúan ex post, y consisten en prohibir y sancionar conductas anticompetitivas (el abuso de la posición de dominio y las prácticas colusorias) y actos desleales del comercio. Podemos afirmar que las políticas de competencia comprenden tanto la legislación de libre competencia como las normas que reprimen la competencia desleal. Una agencia de competencia no sólo castiga ex post las conductas anticompetitivas, sino que, eventualmente, y en tanto lo recoja la legislación, controla ex ante las concentraciones empresariales anticompetitivas.</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16. Dicho ello, corresponde señalar que el principio de supletoriedad no se aplica frente a la regulación social, sino frente a la regulación económica, por la sencilla razón de que, si en un mercado la competencia no es posible, de nada sirve la aplicación de la política de competencia. En un mercado donde ja competencia no es posible por existir un monopolio natural, no tiene sentido estar sancionando conductas anticompetitivas para garantizar una competencia inexistente. Cuando hay un monopolio natural lo que corresponde es la aplicación de la regulación económica. Ésta, en un primer momento buscará emular condiciones de competencia, luego, en una fase más avanzada, introducir competencia. Una vez que, en el mercado, y gracias a la intervención de la regulación económica, la competencia es posible, recién entonces se aplicará la política de competencia, para</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Inicio página 6</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 castigar aquellas conductas que restringen precisamente esa competencia introducida por la regulación económica.</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17. Las políticas de competencia se aplican en mercados donde la competencia es posible y tienen por objeto proteger el proceso competitivo sancionando para ello conductas o estructuras de mercado anticompetitivas. La aplicación de estas políticas está a cargo de la agencia de competencia. En nuestro país, el Decreto Legislativo 701 constituye el marco normativo que busca proteger la competencia en los distintos mercados mediante la tipificación y sanción de aquellas conductas que atenían contra el proceso competitivo, como son las prácticas restrictivas de la libre competencia y el abuso de posición de dominio. Esto es, se trata de un control posterior de las actividades de los agentes en el mercado.</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18. El principio de supletoriedad aludido por la Comisión implica desplazar las políticas de competencia sólo frente a la regulación económica; es esta clase de regulación la única que puede primar sobre la ley de defensa de la competencia en su objetivo de corregir las restricciones monopólicas en un mercado. La regulación social, en cambio, convive con la política de competencia. Pueden presentarse conductas anticompetitivas en los mercados de transporte, salud, educación privada, seguros, administradoras privadas de fondos de pensiones, etc. En estos casos, la actuación de la agencia de competencia no impide que se aplique la regulación sectorial y las sanciones que éstas prevé.</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19. A diferencia de la regulación económica y las políticas de la competencia entre las cuales rige el principio de supletoriedad, la regulación social tiene por objeto corregir las externalidades, asimetrías de información y costos de transacción sin importar si éstas se presentan en un mercado donde la competencia es posible o no.</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20. Teniendo en consideración lo expuesto en los numerales anteriores, corresponde analizar si el principio de supletoriedad resulta aplicable a la conducta material denunciada por Alfa Gas, consistente en la presunta negativa concertada, o mediante abuso de posición de dominio, de Repsol, Zeta Gas y Pecsa de efectuar el canje de los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Inicio página 7</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cilindros rotulados en kilogramos con sus logos y que Alfa Gas mantendría en su poder.</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21. De conformidad con el artículo 49 del Reglamento, una empresa puede envasar GLP en cilindros rotulados de otra empresa envasadora, siempre que celebre un Acuerdo de Corresponsabilidad con esta última4. Sin embargo, de no mediar un acuerdo entre las envasadoras, el artículo 53 del Reglamento señala el deber que tiene una envasadora de GLP de canjear los cilindros rotulados en kilogramos que correspondan a otra envasadora por igual número de cilindros que esta segunda tenga en su poder y que le correspondan a la primera. En caso exista un excedente de cilindros, se precisa que la empresa titular de los cilindros —aquella cuyo rótulo aparece en el envase— deberá retirarlos pagando un precio por el valor comercial de cada cilindro*5</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22. El sistema de intercambio antes descrito es parte del régimen de comercialización de GLP que el Reglamento establece y en el que se asignan responsabilidades respecto del cumplimiento de las normas de seguridad, en función a la propiedad de estos envases. En este contexto, el sistema de intercambio o canje de cilindros está orientado a asegurar la disponibilidad de cilindros de gas en el mercado, manteniendo su propio esquema de titularidades, así como a garantizar a los consumidores la posibilidad de adquirir GLP de cualquier empresa</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Inicio página 8</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envasadora*5. Así las cosas, el Reglamento que obliga a las empresas envasadoras de GLP a efectuar el canje de los cilindros persigue una finalidad distinta a asegurar la competencia en el mercado, constituyendo propiamente un supuesto de regulación social orientada a reducir externalidades negativas y costos de transacción.</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23. Los artículos 45, 46 y 47 del Reglamento ponen de manifiesto los objetivos antes descritos al establecer que las Empresas Envasadoras son responsables de mantener los cilindros rotulados con su signo ajustándose a los Reglamentos de Seguridad y Normas Técnicas que regulan esta materia, estableciendo un régimen de intercambio para mantener un esquema de titularidades que permita asignar la responsabilidad por el incumplimiento de la regulación de seguridad6 6 7.</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24. Sin embargo, el elemento más importante para descartar la aplicación del principio de supletoriedad en el presente caso, es que en el mercado de comercialización de GLP en cilindros no se presenta un monopolio natural, siendo la competencia plenamente posible. Precisamente el sistema de intercambio de cilindros en el marco del cual Alfa Gas planteó su denuncia conlleva de suyo la existencia de diversos operadores entre los cuales debe realizarse el intercambio. Este aspecto no fue considerado por la Comisión al evaluar la procedencia de la denuncia de Alfa Gas, sustentando la improcedencia de la misma en la existencia de un régimen de sanciones a cargo de OSINERGMIN para sancionar la negativa a canjear los cilindros de GLP.</w:t>
      </w:r>
    </w:p>
    <w:p w:rsidR="00000000" w:rsidDel="00000000" w:rsidP="00000000" w:rsidRDefault="00000000" w:rsidRPr="00000000" w14:paraId="0000003C">
      <w:pPr>
        <w:widowControl w:val="0"/>
        <w:spacing w:after="0" w:line="360" w:lineRule="auto"/>
        <w:jc w:val="both"/>
        <w:rPr/>
      </w:pPr>
      <w:r w:rsidDel="00000000" w:rsidR="00000000" w:rsidRPr="00000000">
        <w:rPr>
          <w:rtl w:val="0"/>
        </w:rPr>
      </w:r>
    </w:p>
    <w:p w:rsidR="00000000" w:rsidDel="00000000" w:rsidP="00000000" w:rsidRDefault="00000000" w:rsidRPr="00000000" w14:paraId="0000003D">
      <w:pPr>
        <w:widowControl w:val="0"/>
        <w:spacing w:after="0" w:line="360" w:lineRule="auto"/>
        <w:jc w:val="both"/>
        <w:rPr>
          <w:b w:val="1"/>
        </w:rPr>
      </w:pPr>
      <w:r w:rsidDel="00000000" w:rsidR="00000000" w:rsidRPr="00000000">
        <w:rPr>
          <w:b w:val="1"/>
          <w:rtl w:val="0"/>
        </w:rPr>
        <w:t xml:space="preserve">Inicio página 9</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25. La Sala no desconoce que la negativa a canjear los cilindros de GLP esté tipificada como una infracción pasible de sanción por parte del OSINERGMIN*8, organismo competente para realizar la supervisión, fiscalización y sanción de las infracciones a las normas del sector hidrocarburos, de conformidad con el artículo 3 de la Ley 27332 —Ley Marco de los Organismos Reguladores de la Inversión Privada en los Servicios Públicos*9—, el artículo 5 de la Ley 26734 —Ley del Organismo Supervisor de Inversión en Energía y Minería -OSINERGMIN10—, y los artículos 2 y 5 de la Ley 26221 —Ley Orgánica de Hidrocarburos*11—. Sin embargo, la tipificación antes descrita sólo constituye el mecanismo a través del cual se prevé compeler a las empresas envasadoras de GLP a cumplir la regulación social, sin variar el objetivo de seguridad y abastecimiento que dicha regulación persigue.</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26. El sistema jurídico admite que un mismo hecho pueda tener distintas consecuencias jurídicas, de forma tal que a partir de una conducta específica se pueden derivar diversas infracciones y sanciones igualmente diversas. En algunos ámbitos esta situación es frecuente. Por ejemplo, tratándose de hechos que suponen una infracción a las</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Inicio página 10</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normas de protección al consumidor y, simultáneamente, infracciones al marco regulatorio del sistema de transporte público, no se produciría un supuesto de doble sanción para un mismo hecho en la medida que no existe una identidad causal o de fundamento. El bien jurídico tutelado por la Comisión de Protección al Consumidor es el interés de los consumidores; la racionalidad de su actuación, incluyendo las sanciones impuestas, está orientada a proteger los derechos de los consumidores; en tanto que las normas emitidas por la autoridad de transporte buscan regular la adecuada atribución de la infraestructura vial entre las diferentes concesionarias. Así, en el caso de los buses camión, el empleo de estos vehículos puede ser sancionado por el Ministerio de Transportes y Comunicaciones aun cuando no se advierta el transporte efectivo de pasajeros por el solo hecho de haber contravenido una prohibición expresa de emplear tales vehículos. Las sanciones a imponer pueden incluir la revocación de la autorización de ruta y sanciones pecuniarias que difícilmente alcanzan las multas que la Comisión de Protección al Consumidor impondría si se determina que el empleo de tales vehículos afectó la integridad física y seguridad de los consumidores.</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27. La denuncia de Alfa Gas no plantea la simple negativa de una empresa envasadora de GLP a efectuar el canje de cilindros que el Reglamento establece. La denuncia plantea que tal negativa, al proceder de una empresa que tienen una posición preeminente en el mercado, afecte la permanencia de los envasadores minoritarios en él. Así, son las implicancias de tal negativa en el proceso competitivo el objeto de la denuncia formulada por Alfa Gas. A diferencia de ello, para el OSINERGMIN, el incumplimiento del Reglamento consistente en la negativa de canje será sancionado sin importar la envergadura de la empresa envasadora infractora o los efectos que dicha negativa genere en el proceso competitivo; la sanción pecuniaria será generalmente la misma, pues la conducta omisiva sancionada será simplemente la negativa de canje.</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28. En efecto, para la regulación social propia del canje de balones de GLP, el incumplimiento es la negativa de canje independientemente de si la empresa que realiza tal conducta tiene posición de dominio y persigue restringir la competencia.</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29. La cuantía de las multas es otro elemento que la Sala considera relevante para concluir que el Reglamento persigue un objetivo distinto al de asegurar la competencia. En efecto, mientras que la sanción por una conducta anticompetitiva según el Decreto Legislativo 701 puede</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Inicio página 11</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superar las mil (1 000) Unidades Impositivas Tributarias12 (en adelante, UIT), la Tipificación de Infracciones y Escala de Multas y Sanciones de OSINERGMIN contempla únicamente una multa máxima de 20 UIT. Así, una eventual conducta estratégica consistente en negarse a entregar los cilindros rotulados de otras empresas que reciben de los consumidores, con el fin de excluir a un competidor del mercado, no podría ser efectivamente reprimida y desincentivada mediante la sanción prevista en el Reglamento, pese a tener potencialmente un sensible impacto en la competencia en el mercado.</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30. Por las consideraciones expuestas, la Sala concluye que en el presente caso no resulta aplicable el principio de supletoriedad y, en consecuencia, corresponde revocar la Resolución apelada que declaró improcedente la denuncia interpuesta por Alfa Gas contra Repsol.</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31. Sin perjuicio de ello, y con objeto de garantizar el derecho del denunciado a no ver afectada su situación frente al desarrollo de un procedimiento sancionador en su contra sin contar con los elementos necesarios que ameriten el inicio de una investigación, corresponde que la Comisión evalúe si existen indicios razonables y suficientes para admitir a trámite la denuncia interpuesta por presunto abuso de posición de dominio en la modalidad de negativa de efectuar el canje de cilindros, de conformidad con lo previsto en el Textos Únicos de Procedimientos Administrativos, (en adelante, TUPA) del INDECOPI, aprobado por Decreto Supremo 088-2005-PCM. *13</w:t>
      </w:r>
    </w:p>
    <w:p w:rsidR="00000000" w:rsidDel="00000000" w:rsidP="00000000" w:rsidRDefault="00000000" w:rsidRPr="00000000" w14:paraId="00000049">
      <w:pPr>
        <w:pStyle w:val="Heading1"/>
        <w:widowControl w:val="0"/>
        <w:spacing w:after="0" w:line="360" w:lineRule="auto"/>
        <w:jc w:val="both"/>
        <w:rPr/>
      </w:pPr>
      <w:bookmarkStart w:colFirst="0" w:colLast="0" w:name="_heading=h.t5kwmb21caan" w:id="3"/>
      <w:bookmarkEnd w:id="3"/>
      <w:r w:rsidDel="00000000" w:rsidR="00000000" w:rsidRPr="00000000">
        <w:rPr>
          <w:rtl w:val="0"/>
        </w:rPr>
        <w:t xml:space="preserve">RESUELVE: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revocar la Resolución 021-2007/CLC del 21 de marzo de 2007 que declaró improcedente la denuncia interpuesta por Envasadora Alfa Gas S.A. contra Repsol YPF Comercial del Perú S.A. y ordenar a la Comisión de</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Inicio página 12</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Libre Competencia que evalúe si existen indicios suficientes para admitir a trámite la denuncia por presunto abuso de posición de dominio consistente en la negativa de canje de cilindros y prosiga con el trámite del procedimiento de acuerdo a ley.</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Con la intervención de los señores vocales: Rosa María Graciela Ortiz Origgi, Juan Ángel Candela Gómez de la Torre, Luis José Diez Canseco Núñez y Camilo Nicanor Carrillo Gómez.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ROSA MARIA GRACIELA ORTIZ ORIGGI Presidenta</w:t>
      </w:r>
    </w:p>
    <w:p w:rsidR="00000000" w:rsidDel="00000000" w:rsidP="00000000" w:rsidRDefault="00000000" w:rsidRPr="00000000" w14:paraId="0000004F">
      <w:pPr>
        <w:widowControl w:val="0"/>
        <w:spacing w:after="0" w:line="360" w:lineRule="auto"/>
        <w:jc w:val="both"/>
        <w:rPr/>
      </w:pPr>
      <w:r w:rsidDel="00000000" w:rsidR="00000000" w:rsidRPr="00000000">
        <w:rPr>
          <w:rtl w:val="0"/>
        </w:rPr>
      </w:r>
    </w:p>
    <w:p w:rsidR="00000000" w:rsidDel="00000000" w:rsidP="00000000" w:rsidRDefault="00000000" w:rsidRPr="00000000" w14:paraId="00000050">
      <w:pPr>
        <w:widowControl w:val="0"/>
        <w:spacing w:after="0" w:line="360" w:lineRule="auto"/>
        <w:jc w:val="both"/>
        <w:rPr/>
      </w:pPr>
      <w:bookmarkStart w:colFirst="0" w:colLast="0" w:name="_heading=h.gjdgxs" w:id="4"/>
      <w:bookmarkEnd w:id="4"/>
      <w:r w:rsidDel="00000000" w:rsidR="00000000" w:rsidRPr="00000000">
        <w:rPr>
          <w:rFonts w:ascii="Arial" w:cs="Arial" w:eastAsia="Arial" w:hAnsi="Arial"/>
          <w:sz w:val="18"/>
          <w:szCs w:val="18"/>
          <w:rtl w:val="0"/>
        </w:rPr>
        <w:t xml:space="preserve">Análisis económico del Derecho (DER306-1701)</w:t>
      </w: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7E5A04"/>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nhbmB5AWjwSfoGR37GZ35/3qsg==">CgMxLjAyDmguM29pNHoyZzAzZXh4Mg5oLjd1bGNtaXI1eW4wZjIOaC5uZzJ6bWMzbnBuejEyDmgudDVrd21iMjFjYWFuMghoLmdqZGd4czgAciExa0UySHNEdnByQmFqUk5JeGpjN2thVG5uQUFLXzdtV0s=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2024-03-22T17:32:00Z</dcterms:created>
  <dc:creator>Oswaldo Martin Reyes Torres</dc:creator>
</cp:coreProperties>
</file>