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color w:val="222222"/>
        </w:rPr>
      </w:pPr>
      <w:bookmarkStart w:colFirst="0" w:colLast="0" w:name="_heading=h.7u0evwb7p29p" w:id="0"/>
      <w:bookmarkEnd w:id="0"/>
      <w:r w:rsidDel="00000000" w:rsidR="00000000" w:rsidRPr="00000000">
        <w:rPr>
          <w:color w:val="222222"/>
          <w:rtl w:val="0"/>
        </w:rPr>
        <w:t xml:space="preserve">Department of Justice and the Federal Trade Commission(2023, 18 de diciembre). 2023 merger guidelines. Antitrust Division U.S. Department of Justice. </w:t>
      </w:r>
      <w:hyperlink r:id="rId7">
        <w:r w:rsidDel="00000000" w:rsidR="00000000" w:rsidRPr="00000000">
          <w:rPr>
            <w:color w:val="1155cc"/>
            <w:u w:val="single"/>
            <w:rtl w:val="0"/>
          </w:rPr>
          <w:t xml:space="preserve">https://www.justice.gov/atr/2023-merger-guidelines</w:t>
        </w:r>
      </w:hyperlink>
      <w:r w:rsidDel="00000000" w:rsidR="00000000" w:rsidRPr="00000000">
        <w:rPr>
          <w:rtl w:val="0"/>
        </w:rPr>
      </w:r>
    </w:p>
    <w:p w:rsidR="00000000" w:rsidDel="00000000" w:rsidP="00000000" w:rsidRDefault="00000000" w:rsidRPr="00000000" w14:paraId="00000002">
      <w:pPr>
        <w:spacing w:line="360" w:lineRule="auto"/>
        <w:jc w:val="both"/>
        <w:rPr>
          <w:color w:val="222222"/>
        </w:rPr>
      </w:pPr>
      <w:bookmarkStart w:colFirst="0" w:colLast="0" w:name="_heading=h.bydzicuf7ji" w:id="1"/>
      <w:bookmarkEnd w:id="1"/>
      <w:r w:rsidDel="00000000" w:rsidR="00000000" w:rsidRPr="00000000">
        <w:rPr>
          <w:rtl w:val="0"/>
        </w:rPr>
      </w:r>
    </w:p>
    <w:p w:rsidR="00000000" w:rsidDel="00000000" w:rsidP="00000000" w:rsidRDefault="00000000" w:rsidRPr="00000000" w14:paraId="00000003">
      <w:pPr>
        <w:spacing w:line="360" w:lineRule="auto"/>
        <w:jc w:val="both"/>
        <w:rPr>
          <w:color w:val="222222"/>
          <w:highlight w:val="white"/>
        </w:rPr>
      </w:pPr>
      <w:r w:rsidDel="00000000" w:rsidR="00000000" w:rsidRPr="00000000">
        <w:rPr>
          <w:color w:val="222222"/>
          <w:highlight w:val="white"/>
          <w:rtl w:val="0"/>
        </w:rPr>
        <w:t xml:space="preserve">Directrices de fusión de EE. UU.</w:t>
      </w:r>
    </w:p>
    <w:p w:rsidR="00000000" w:rsidDel="00000000" w:rsidP="00000000" w:rsidRDefault="00000000" w:rsidRPr="00000000" w14:paraId="00000004">
      <w:pPr>
        <w:spacing w:line="360" w:lineRule="auto"/>
        <w:jc w:val="both"/>
        <w:rPr>
          <w:color w:val="222222"/>
          <w:highlight w:val="white"/>
        </w:rPr>
      </w:pPr>
      <w:r w:rsidDel="00000000" w:rsidR="00000000" w:rsidRPr="00000000">
        <w:rPr>
          <w:color w:val="222222"/>
          <w:highlight w:val="white"/>
          <w:rtl w:val="0"/>
        </w:rPr>
        <w:t xml:space="preserve">Inicio página 1</w:t>
      </w:r>
    </w:p>
    <w:p w:rsidR="00000000" w:rsidDel="00000000" w:rsidP="00000000" w:rsidRDefault="00000000" w:rsidRPr="00000000" w14:paraId="00000005">
      <w:pPr>
        <w:spacing w:line="360" w:lineRule="auto"/>
        <w:jc w:val="both"/>
        <w:rPr>
          <w:color w:val="222222"/>
          <w:highlight w:val="white"/>
        </w:rPr>
      </w:pPr>
      <w:r w:rsidDel="00000000" w:rsidR="00000000" w:rsidRPr="00000000">
        <w:rPr>
          <w:color w:val="222222"/>
          <w:highlight w:val="white"/>
          <w:rtl w:val="0"/>
        </w:rPr>
        <w:t xml:space="preserve">Directrices para fusiones Departamento de Justicia de EE. UU. y Comisión Federal de Comercio</w:t>
      </w:r>
    </w:p>
    <w:p w:rsidR="00000000" w:rsidDel="00000000" w:rsidP="00000000" w:rsidRDefault="00000000" w:rsidRPr="00000000" w14:paraId="00000006">
      <w:pPr>
        <w:spacing w:line="360" w:lineRule="auto"/>
        <w:jc w:val="both"/>
        <w:rPr>
          <w:color w:val="222222"/>
          <w:highlight w:val="white"/>
        </w:rPr>
      </w:pPr>
      <w:r w:rsidDel="00000000" w:rsidR="00000000" w:rsidRPr="00000000">
        <w:rPr>
          <w:color w:val="222222"/>
          <w:highlight w:val="white"/>
          <w:rtl w:val="0"/>
        </w:rPr>
        <w:t xml:space="preserve">I. Descripción general</w:t>
      </w:r>
    </w:p>
    <w:p w:rsidR="00000000" w:rsidDel="00000000" w:rsidP="00000000" w:rsidRDefault="00000000" w:rsidRPr="00000000" w14:paraId="00000007">
      <w:pPr>
        <w:spacing w:line="360" w:lineRule="auto"/>
        <w:jc w:val="both"/>
        <w:rPr>
          <w:color w:val="222222"/>
          <w:highlight w:val="white"/>
        </w:rPr>
      </w:pPr>
      <w:r w:rsidDel="00000000" w:rsidR="00000000" w:rsidRPr="00000000">
        <w:rPr>
          <w:color w:val="222222"/>
          <w:highlight w:val="white"/>
          <w:rtl w:val="0"/>
        </w:rPr>
        <w:t xml:space="preserve">Estas Directrices sobre fusiones explican cómo el Departamento de Justicia y la Comisión Federal de Comercio (las “Agencias”) identifican fusiones potencialmente ilegales. Están diseñados para ayudar al público, la comunidad empresarial, los profesionales y los tribunales a comprender los factores y marcos que las agencias consideran al investigar fusiones.</w:t>
      </w:r>
    </w:p>
    <w:p w:rsidR="00000000" w:rsidDel="00000000" w:rsidP="00000000" w:rsidRDefault="00000000" w:rsidRPr="00000000" w14:paraId="00000008">
      <w:pPr>
        <w:spacing w:line="360" w:lineRule="auto"/>
        <w:jc w:val="both"/>
        <w:rPr>
          <w:color w:val="222222"/>
          <w:highlight w:val="white"/>
        </w:rPr>
      </w:pPr>
      <w:r w:rsidDel="00000000" w:rsidR="00000000" w:rsidRPr="00000000">
        <w:rPr>
          <w:color w:val="222222"/>
          <w:highlight w:val="white"/>
          <w:rtl w:val="0"/>
        </w:rPr>
        <w:t xml:space="preserve">Las Agencias hacen cumplir las leyes federales antimonopolio, específicamente las Secciones 1 y 2 de la Ley Sherman, 15 USC §§ 1, 2; Sección 5 de la Ley de la Comisión Federal de Comercio, 15 USC § 45; y las Secciones 3, 7 y 8 de la Ley Clayton*1, 15 USC §§ 14, 18, 19. El Congreso ha encargado a las Agencias la administración de estos estatutos como parte de una política nacional para promover la competencia abierta y justa, incluso evitando fusiones y adquisiciones que violarían estas leyes.</w:t>
      </w:r>
    </w:p>
    <w:p w:rsidR="00000000" w:rsidDel="00000000" w:rsidP="00000000" w:rsidRDefault="00000000" w:rsidRPr="00000000" w14:paraId="00000009">
      <w:pPr>
        <w:spacing w:line="360" w:lineRule="auto"/>
        <w:jc w:val="both"/>
        <w:rPr>
          <w:color w:val="222222"/>
          <w:highlight w:val="white"/>
        </w:rPr>
      </w:pPr>
      <w:r w:rsidDel="00000000" w:rsidR="00000000" w:rsidRPr="00000000">
        <w:rPr>
          <w:color w:val="222222"/>
          <w:highlight w:val="white"/>
          <w:rtl w:val="0"/>
        </w:rPr>
        <w:t xml:space="preserve">La Sección 7 de la Ley Clayton es la ley antimonopolio que aborda más directamente las fusiones y adquisiciones.*2 La Sección 7 prohíbe las fusiones y adquisiciones cuando “en cualquier línea de comercio o en cualquier actividad que afecte el comercio en cualquier sección del país, el efecto de dichas La adquisición puede tener como objetivo disminuir sustancialmente la competencia o tender a crear un monopolio”.*3 La Sección 7 es un estatuto preventivo que refleja el “mandato del Congreso que tiende a la concentración”.</w:t>
      </w:r>
    </w:p>
    <w:p w:rsidR="00000000" w:rsidDel="00000000" w:rsidP="00000000" w:rsidRDefault="00000000" w:rsidRPr="00000000" w14:paraId="0000000A">
      <w:pPr>
        <w:spacing w:line="360" w:lineRule="auto"/>
        <w:jc w:val="both"/>
        <w:rPr>
          <w:color w:val="222222"/>
          <w:highlight w:val="white"/>
        </w:rPr>
      </w:pPr>
      <w:r w:rsidDel="00000000" w:rsidR="00000000" w:rsidRPr="00000000">
        <w:rPr>
          <w:color w:val="222222"/>
          <w:highlight w:val="white"/>
          <w:rtl w:val="0"/>
        </w:rPr>
        <w:t xml:space="preserve">Inicio página 2</w:t>
      </w:r>
    </w:p>
    <w:p w:rsidR="00000000" w:rsidDel="00000000" w:rsidP="00000000" w:rsidRDefault="00000000" w:rsidRPr="00000000" w14:paraId="0000000B">
      <w:pPr>
        <w:spacing w:line="360" w:lineRule="auto"/>
        <w:jc w:val="both"/>
        <w:rPr>
          <w:color w:val="222222"/>
          <w:highlight w:val="white"/>
        </w:rPr>
      </w:pPr>
      <w:r w:rsidDel="00000000" w:rsidR="00000000" w:rsidRPr="00000000">
        <w:rPr>
          <w:color w:val="222222"/>
          <w:highlight w:val="white"/>
          <w:rtl w:val="0"/>
        </w:rPr>
        <w:t xml:space="preserve">en la industria se debe frenar su incipiente.”*4</w:t>
      </w:r>
    </w:p>
    <w:p w:rsidR="00000000" w:rsidDel="00000000" w:rsidP="00000000" w:rsidRDefault="00000000" w:rsidRPr="00000000" w14:paraId="0000000C">
      <w:pPr>
        <w:spacing w:line="360" w:lineRule="auto"/>
        <w:jc w:val="both"/>
        <w:rPr>
          <w:color w:val="222222"/>
          <w:highlight w:val="white"/>
        </w:rPr>
      </w:pPr>
      <w:r w:rsidDel="00000000" w:rsidR="00000000" w:rsidRPr="00000000">
        <w:rPr>
          <w:color w:val="222222"/>
          <w:highlight w:val="white"/>
          <w:rtl w:val="0"/>
        </w:rPr>
        <w:t xml:space="preserve">La Ley Clayton exige que las Agencias evalúen el riesgo que suponen las fusiones para la competencia. Como ha explicado la Corte Suprema, “la propia Sección 7 crea una definición relativamente amplia de responsabilidad antimonopolio: para demostrar que una fusión es ilegal, un demandante sólo necesita demostrar que su efecto 'puede ser reducir sustancialmente la competencia'”.*5 Esto es porque “[e]l gran diseño de... la Sección 7, en cuanto a adquisiciones de acciones [y] la adquisición de activos, era detener amenazas incipientes a la competencia que la Ley Sherman [de aplicación más amplia] normalmente no alcanzaba”.* 6 En consecuencia, al analizar una fusión propuesta, las Agencias no buscan predecir con certeza el futuro o los efectos precisos de una fusión. Más bien, las Agencias evalúan el riesgo de que la fusión pueda disminuir sustancialmente la competencia o tienda a crear un monopolio basándose en la totalidad de las pruebas disponibles en el momento de la investigación.</w:t>
      </w:r>
    </w:p>
    <w:p w:rsidR="00000000" w:rsidDel="00000000" w:rsidP="00000000" w:rsidRDefault="00000000" w:rsidRPr="00000000" w14:paraId="0000000D">
      <w:pPr>
        <w:spacing w:line="360" w:lineRule="auto"/>
        <w:jc w:val="both"/>
        <w:rPr>
          <w:color w:val="222222"/>
          <w:highlight w:val="white"/>
        </w:rPr>
      </w:pPr>
      <w:r w:rsidDel="00000000" w:rsidR="00000000" w:rsidRPr="00000000">
        <w:rPr>
          <w:color w:val="222222"/>
          <w:highlight w:val="white"/>
          <w:rtl w:val="0"/>
        </w:rPr>
        <w:t xml:space="preserve">En toda la economía, la competencia se manifiesta de muchas maneras y en diversas dimensiones. En reconocimiento de este hecho, “el Congreso indicó claramente que una fusión tenía que ser vista funcionalmente, en el contexto de su industria particular.”*7 Por lo tanto, las Agencias comienzan su análisis de fusiones con la pregunta: ¿cómo se presenta la competencia en este mercado y ¿Podría esta fusión correr el riesgo de reducir sustancialmente esa competencia ahora o en el futuro?</w:t>
      </w:r>
    </w:p>
    <w:p w:rsidR="00000000" w:rsidDel="00000000" w:rsidP="00000000" w:rsidRDefault="00000000" w:rsidRPr="00000000" w14:paraId="0000000E">
      <w:pPr>
        <w:spacing w:line="360" w:lineRule="auto"/>
        <w:jc w:val="both"/>
        <w:rPr>
          <w:color w:val="222222"/>
          <w:highlight w:val="white"/>
        </w:rPr>
      </w:pPr>
      <w:r w:rsidDel="00000000" w:rsidR="00000000" w:rsidRPr="00000000">
        <w:rPr>
          <w:color w:val="222222"/>
          <w:highlight w:val="white"/>
          <w:rtl w:val="0"/>
        </w:rPr>
        <w:t xml:space="preserve">Las Agencias aplican las siguientes pautas para ayudar a responder esta pregunta. En algunos casos, “es posible simplificar la prueba de ilegalidad” centrándose en hechos discretos que, cuando están presentes, sugieren que una fusión es “tan inherentemente probable que reduzca sustancialmente la competencia que debe prohibirse en ausencia de pruebas que demuestren claramente que no es probable que la fusión tenga tales efectos anticompetitivos.”*8</w:t>
      </w:r>
    </w:p>
    <w:p w:rsidR="00000000" w:rsidDel="00000000" w:rsidP="00000000" w:rsidRDefault="00000000" w:rsidRPr="00000000" w14:paraId="0000000F">
      <w:pPr>
        <w:spacing w:line="360" w:lineRule="auto"/>
        <w:jc w:val="both"/>
        <w:rPr>
          <w:color w:val="222222"/>
          <w:highlight w:val="white"/>
        </w:rPr>
      </w:pPr>
      <w:r w:rsidDel="00000000" w:rsidR="00000000" w:rsidRPr="00000000">
        <w:rPr>
          <w:color w:val="222222"/>
          <w:highlight w:val="white"/>
          <w:rtl w:val="0"/>
        </w:rPr>
        <w:t xml:space="preserve">Las Directrices 1 a 8 identifican varios marcos que las Agencias utilizan para evaluar el riesgo de que el efecto de una fusión pueda ser sustancialmente el de disminuir la competencia o tender a crear un monopolio. Las directrices 9 a 12 explican los problemas que a menudo surgen cuando las Agencias aplican esos marcos en varios entornos comunes. La Directriz 13 explica cómo las Agencias consideran las fusiones y adquisiciones que plantean preocupaciones competitivas no abordadas por las otras Directrices.</w:t>
      </w:r>
    </w:p>
    <w:p w:rsidR="00000000" w:rsidDel="00000000" w:rsidP="00000000" w:rsidRDefault="00000000" w:rsidRPr="00000000" w14:paraId="00000010">
      <w:pPr>
        <w:spacing w:line="360" w:lineRule="auto"/>
        <w:jc w:val="both"/>
        <w:rPr>
          <w:color w:val="222222"/>
          <w:highlight w:val="white"/>
        </w:rPr>
      </w:pPr>
      <w:r w:rsidDel="00000000" w:rsidR="00000000" w:rsidRPr="00000000">
        <w:rPr>
          <w:color w:val="222222"/>
          <w:highlight w:val="white"/>
          <w:rtl w:val="0"/>
        </w:rPr>
        <w:t xml:space="preserve">Estas Directrices no son mutuamente excluyentes, ya que una sola transacción puede tener múltiples efectos o generar preocupaciones de múltiples maneras. Para promover una revisión eficiente, para cualquier transacción determinada, las Agencias pueden limitar su análisis a cualquier Directriz o subconjunto de Directrices que demuestre más fácilmente los riesgos para la competencia de la transacción.</w:t>
      </w:r>
    </w:p>
    <w:p w:rsidR="00000000" w:rsidDel="00000000" w:rsidP="00000000" w:rsidRDefault="00000000" w:rsidRPr="00000000" w14:paraId="00000011">
      <w:pPr>
        <w:spacing w:line="360" w:lineRule="auto"/>
        <w:jc w:val="both"/>
        <w:rPr>
          <w:color w:val="222222"/>
          <w:highlight w:val="white"/>
        </w:rPr>
      </w:pPr>
      <w:r w:rsidDel="00000000" w:rsidR="00000000" w:rsidRPr="00000000">
        <w:rPr>
          <w:color w:val="222222"/>
          <w:highlight w:val="white"/>
          <w:rtl w:val="0"/>
        </w:rPr>
        <w:t xml:space="preserve">Inicio página 3</w:t>
      </w:r>
    </w:p>
    <w:p w:rsidR="00000000" w:rsidDel="00000000" w:rsidP="00000000" w:rsidRDefault="00000000" w:rsidRPr="00000000" w14:paraId="00000012">
      <w:pPr>
        <w:spacing w:line="360" w:lineRule="auto"/>
        <w:jc w:val="both"/>
        <w:rPr>
          <w:color w:val="222222"/>
          <w:highlight w:val="white"/>
        </w:rPr>
      </w:pPr>
      <w:r w:rsidDel="00000000" w:rsidR="00000000" w:rsidRPr="00000000">
        <w:rPr>
          <w:color w:val="222222"/>
          <w:highlight w:val="white"/>
          <w:rtl w:val="0"/>
        </w:rPr>
        <w:t xml:space="preserve">Directriz 1: Las fusiones no deben aumentar significativamente la concentración en mercados altamente concentrados.*9 La concentración se refiere al número y tamaño relativo de los rivales que compiten para ofrecer un producto o servicio a un grupo de clientes. Las Agencias examinan si una fusión entre competidores aumentaría significativamente la concentración y daría como resultado un mercado altamente concentrado. De ser así, las Agencias suponen que una fusión puede reducir sustancialmente la competencia basándose únicamente en la estructura del mercado.</w:t>
      </w:r>
    </w:p>
    <w:p w:rsidR="00000000" w:rsidDel="00000000" w:rsidP="00000000" w:rsidRDefault="00000000" w:rsidRPr="00000000" w14:paraId="00000013">
      <w:pPr>
        <w:spacing w:line="360" w:lineRule="auto"/>
        <w:jc w:val="both"/>
        <w:rPr>
          <w:color w:val="222222"/>
          <w:highlight w:val="white"/>
        </w:rPr>
      </w:pPr>
      <w:r w:rsidDel="00000000" w:rsidR="00000000" w:rsidRPr="00000000">
        <w:rPr>
          <w:color w:val="222222"/>
          <w:highlight w:val="white"/>
          <w:rtl w:val="0"/>
        </w:rPr>
        <w:t xml:space="preserve">Directriz 2: Las fusiones no deben eliminar la competencia sustancial entre empresas.*10 Las Agencias examinan si la competencia entre las partes que se fusionan es sustancial, ya que su fusión necesariamente eliminará la competencia entre ellas.</w:t>
      </w:r>
    </w:p>
    <w:p w:rsidR="00000000" w:rsidDel="00000000" w:rsidP="00000000" w:rsidRDefault="00000000" w:rsidRPr="00000000" w14:paraId="00000014">
      <w:pPr>
        <w:spacing w:line="360" w:lineRule="auto"/>
        <w:jc w:val="both"/>
        <w:rPr>
          <w:color w:val="222222"/>
          <w:highlight w:val="white"/>
        </w:rPr>
      </w:pPr>
      <w:r w:rsidDel="00000000" w:rsidR="00000000" w:rsidRPr="00000000">
        <w:rPr>
          <w:color w:val="222222"/>
          <w:highlight w:val="white"/>
          <w:rtl w:val="0"/>
        </w:rPr>
        <w:t xml:space="preserve">Directriz 3: Las fusiones no deben aumentar el riesgo de coordinación.*11 Las Agencias examinan si una fusión aumenta el riesgo de coordinación anticompetitiva. Un mercado que está altamente concentrado o que ha experimentado una coordinación anticompetitiva previa es inherentemente vulnerable y las Agencias supondrán que la fusión puede reducir sustancialmente la competencia. En un mercado que aún no está muy concentrado, las Agencias investigan si los hechos sugieren un riesgo de coordinación mayor que el que sugeriría la estructura del mercado por sí sola.</w:t>
      </w:r>
    </w:p>
    <w:p w:rsidR="00000000" w:rsidDel="00000000" w:rsidP="00000000" w:rsidRDefault="00000000" w:rsidRPr="00000000" w14:paraId="00000015">
      <w:pPr>
        <w:spacing w:line="360" w:lineRule="auto"/>
        <w:jc w:val="both"/>
        <w:rPr>
          <w:color w:val="222222"/>
          <w:highlight w:val="white"/>
        </w:rPr>
      </w:pPr>
      <w:r w:rsidDel="00000000" w:rsidR="00000000" w:rsidRPr="00000000">
        <w:rPr>
          <w:color w:val="222222"/>
          <w:highlight w:val="white"/>
          <w:rtl w:val="0"/>
        </w:rPr>
        <w:t xml:space="preserve">Directriz 4: Las fusiones no deben eliminar a un participante potencial en un mercado concentrado.*12 Las Agencias examinan si, en un mercado concentrado, una fusión (a) eliminaría a un participante potencial o (b) eliminaría la presión competitiva actual de un participante potencial percibido. .</w:t>
      </w:r>
    </w:p>
    <w:p w:rsidR="00000000" w:rsidDel="00000000" w:rsidP="00000000" w:rsidRDefault="00000000" w:rsidRPr="00000000" w14:paraId="00000016">
      <w:pPr>
        <w:spacing w:line="360" w:lineRule="auto"/>
        <w:jc w:val="both"/>
        <w:rPr>
          <w:color w:val="222222"/>
          <w:highlight w:val="white"/>
        </w:rPr>
      </w:pPr>
      <w:r w:rsidDel="00000000" w:rsidR="00000000" w:rsidRPr="00000000">
        <w:rPr>
          <w:color w:val="222222"/>
          <w:highlight w:val="white"/>
          <w:rtl w:val="0"/>
        </w:rPr>
        <w:t xml:space="preserve">Directriz 5: Las fusiones no deben reducir sustancialmente la competencia mediante la creación de una empresa que controle productos o servicios que sus rivales puedan utilizar para competir.*13 Cuando una fusión involucra productos o servicios que los rivales utilizan para competir, las Agencias examinan si la empresa fusionada puede controlar el acceso a esos productos o servicios para reducir sustancialmente la competencia y si tienen el incentivo para hacerlo.</w:t>
      </w:r>
    </w:p>
    <w:p w:rsidR="00000000" w:rsidDel="00000000" w:rsidP="00000000" w:rsidRDefault="00000000" w:rsidRPr="00000000" w14:paraId="00000017">
      <w:pPr>
        <w:spacing w:line="360" w:lineRule="auto"/>
        <w:jc w:val="both"/>
        <w:rPr>
          <w:color w:val="222222"/>
          <w:highlight w:val="white"/>
        </w:rPr>
      </w:pPr>
      <w:r w:rsidDel="00000000" w:rsidR="00000000" w:rsidRPr="00000000">
        <w:rPr>
          <w:color w:val="222222"/>
          <w:highlight w:val="white"/>
          <w:rtl w:val="0"/>
        </w:rPr>
        <w:t xml:space="preserve">Directriz 6: Las fusiones verticales no deben crear estructuras de mercado que impidan la competencia.*14 Las Agencias examinan cómo una fusión reestructuraría una cadena de suministro o distribución vertical. Con una participación del 50% o cerca de ella, la estructura del mercado por sí sola indica que la fusión puede reducir sustancialmente la competencia. Por debajo de ese nivel, las Agencias examinan si la fusión crearía un “obstrucción de la competencia... que priva a los rivales de una oportunidad justa de competir”.*15</w:t>
      </w:r>
    </w:p>
    <w:p w:rsidR="00000000" w:rsidDel="00000000" w:rsidP="00000000" w:rsidRDefault="00000000" w:rsidRPr="00000000" w14:paraId="00000018">
      <w:pPr>
        <w:spacing w:line="360" w:lineRule="auto"/>
        <w:jc w:val="both"/>
        <w:rPr>
          <w:color w:val="222222"/>
          <w:highlight w:val="white"/>
        </w:rPr>
      </w:pPr>
      <w:r w:rsidDel="00000000" w:rsidR="00000000" w:rsidRPr="00000000">
        <w:rPr>
          <w:color w:val="222222"/>
          <w:highlight w:val="white"/>
          <w:rtl w:val="0"/>
        </w:rPr>
        <w:t xml:space="preserve">Directriz 7: Las fusiones no deben consolidar ni ampliar una posición dominante.*16 Las Agencias examinan si una de las empresas que se fusionan ya tiene una posición dominante que la fusión pueda reforzar. También examinan si la fusión puede ampliar esa posición dominante para reducir sustancialmente la competencia o tender a crear un monopolio en otro mercado.</w:t>
      </w:r>
    </w:p>
    <w:p w:rsidR="00000000" w:rsidDel="00000000" w:rsidP="00000000" w:rsidRDefault="00000000" w:rsidRPr="00000000" w14:paraId="00000019">
      <w:pPr>
        <w:spacing w:line="360" w:lineRule="auto"/>
        <w:jc w:val="both"/>
        <w:rPr>
          <w:color w:val="222222"/>
          <w:highlight w:val="white"/>
        </w:rPr>
      </w:pPr>
      <w:r w:rsidDel="00000000" w:rsidR="00000000" w:rsidRPr="00000000">
        <w:rPr>
          <w:color w:val="222222"/>
          <w:highlight w:val="white"/>
          <w:rtl w:val="0"/>
        </w:rPr>
        <w:t xml:space="preserve">Inicio página 4</w:t>
      </w:r>
    </w:p>
    <w:p w:rsidR="00000000" w:rsidDel="00000000" w:rsidP="00000000" w:rsidRDefault="00000000" w:rsidRPr="00000000" w14:paraId="0000001A">
      <w:pPr>
        <w:spacing w:line="360" w:lineRule="auto"/>
        <w:jc w:val="both"/>
        <w:rPr>
          <w:color w:val="222222"/>
          <w:highlight w:val="white"/>
        </w:rPr>
      </w:pPr>
      <w:r w:rsidDel="00000000" w:rsidR="00000000" w:rsidRPr="00000000">
        <w:rPr>
          <w:color w:val="222222"/>
          <w:highlight w:val="white"/>
          <w:rtl w:val="0"/>
        </w:rPr>
        <w:t xml:space="preserve">Directriz 8: Las fusiones no deben promover una tendencia hacia la concentración.*17 Si una fusión ocurre durante una tendencia hacia la concentración, las Agencias examinan si una mayor consolidación puede disminuir sustancialmente la competencia o tender a crear un monopolio.</w:t>
      </w:r>
    </w:p>
    <w:p w:rsidR="00000000" w:rsidDel="00000000" w:rsidP="00000000" w:rsidRDefault="00000000" w:rsidRPr="00000000" w14:paraId="0000001B">
      <w:pPr>
        <w:spacing w:line="360" w:lineRule="auto"/>
        <w:jc w:val="both"/>
        <w:rPr>
          <w:color w:val="222222"/>
          <w:highlight w:val="white"/>
        </w:rPr>
      </w:pPr>
      <w:r w:rsidDel="00000000" w:rsidR="00000000" w:rsidRPr="00000000">
        <w:rPr>
          <w:color w:val="222222"/>
          <w:highlight w:val="white"/>
          <w:rtl w:val="0"/>
        </w:rPr>
        <w:t xml:space="preserve">Directriz 9: Cuando una fusión es parte de una serie de adquisiciones múltiples, las agencias pueden examinar la serie completa.*18 Si una transacción individual es parte del patrón o estrategia de adquisiciones múltiples de una empresa, las agencias consideran el efecto acumulativo del patrón o estrategia.</w:t>
      </w:r>
    </w:p>
    <w:p w:rsidR="00000000" w:rsidDel="00000000" w:rsidP="00000000" w:rsidRDefault="00000000" w:rsidRPr="00000000" w14:paraId="0000001C">
      <w:pPr>
        <w:spacing w:line="360" w:lineRule="auto"/>
        <w:jc w:val="both"/>
        <w:rPr>
          <w:color w:val="222222"/>
          <w:highlight w:val="white"/>
        </w:rPr>
      </w:pPr>
      <w:r w:rsidDel="00000000" w:rsidR="00000000" w:rsidRPr="00000000">
        <w:rPr>
          <w:color w:val="222222"/>
          <w:highlight w:val="white"/>
          <w:rtl w:val="0"/>
        </w:rPr>
        <w:t xml:space="preserve">Directriz 10: Cuando una fusión involucra una plataforma multilateral, las agencias examinan la competencia entre plataformas, en una plataforma o para desplazar una plataforma. Las plataformas multilaterales tienen características que pueden exacerbar o acelerar los problemas de competencia. Las Agencias consideran cuidadosamente las características distintivas de las plataformas multilaterales al aplicar las demás Directrices.</w:t>
      </w:r>
    </w:p>
    <w:p w:rsidR="00000000" w:rsidDel="00000000" w:rsidP="00000000" w:rsidRDefault="00000000" w:rsidRPr="00000000" w14:paraId="0000001D">
      <w:pPr>
        <w:spacing w:line="360" w:lineRule="auto"/>
        <w:jc w:val="both"/>
        <w:rPr>
          <w:color w:val="222222"/>
          <w:highlight w:val="white"/>
        </w:rPr>
      </w:pPr>
      <w:r w:rsidDel="00000000" w:rsidR="00000000" w:rsidRPr="00000000">
        <w:rPr>
          <w:color w:val="222222"/>
          <w:highlight w:val="white"/>
          <w:rtl w:val="0"/>
        </w:rPr>
        <w:t xml:space="preserve">Directriz 11: Cuando una fusión involucra a compradores competidores, las agencias examinan si puede reducir sustancialmente la competencia para los trabajadores u otros vendedores.*19 La sección 7 protege la competencia entre compradores y prohíbe fusiones que puedan disminuir sustancialmente la competencia en cualquier mercado relevante. Por lo tanto, las Agencias aplican estas Directrices para evaluar si una fusión entre compradores, incluidos los empleadores, puede reducir sustancialmente la competencia o tender a crear un monopolio.</w:t>
      </w:r>
    </w:p>
    <w:p w:rsidR="00000000" w:rsidDel="00000000" w:rsidP="00000000" w:rsidRDefault="00000000" w:rsidRPr="00000000" w14:paraId="0000001E">
      <w:pPr>
        <w:spacing w:line="360" w:lineRule="auto"/>
        <w:jc w:val="both"/>
        <w:rPr>
          <w:color w:val="222222"/>
          <w:highlight w:val="white"/>
        </w:rPr>
      </w:pPr>
      <w:r w:rsidDel="00000000" w:rsidR="00000000" w:rsidRPr="00000000">
        <w:rPr>
          <w:color w:val="222222"/>
          <w:highlight w:val="white"/>
          <w:rtl w:val="0"/>
        </w:rPr>
        <w:t xml:space="preserve">Directriz 12: Cuando una adquisición involucra propiedad parcial o intereses minoritarios, las agencias examinan su impacto en la competencia.*20 Las adquisiciones de control parcial o propiedad común pueden en algunas situaciones disminuir sustancialmente la competencia.</w:t>
      </w:r>
    </w:p>
    <w:p w:rsidR="00000000" w:rsidDel="00000000" w:rsidP="00000000" w:rsidRDefault="00000000" w:rsidRPr="00000000" w14:paraId="0000001F">
      <w:pPr>
        <w:spacing w:line="360" w:lineRule="auto"/>
        <w:jc w:val="both"/>
        <w:rPr>
          <w:color w:val="222222"/>
          <w:highlight w:val="white"/>
        </w:rPr>
      </w:pPr>
      <w:r w:rsidDel="00000000" w:rsidR="00000000" w:rsidRPr="00000000">
        <w:rPr>
          <w:color w:val="222222"/>
          <w:highlight w:val="white"/>
          <w:rtl w:val="0"/>
        </w:rPr>
        <w:t xml:space="preserve">Directriz 13: Las fusiones no deben reducir sustancialmente la competencia ni tender a crear un monopolio. Las Directrices no son exhaustivas en cuanto a las formas en que una fusión puede reducir sustancialmente la competencia o tender a crear un monopolio.</w:t>
      </w:r>
    </w:p>
    <w:p w:rsidR="00000000" w:rsidDel="00000000" w:rsidP="00000000" w:rsidRDefault="00000000" w:rsidRPr="00000000" w14:paraId="00000020">
      <w:pPr>
        <w:spacing w:line="360" w:lineRule="auto"/>
        <w:jc w:val="both"/>
        <w:rPr>
          <w:color w:val="222222"/>
          <w:highlight w:val="white"/>
        </w:rPr>
      </w:pPr>
      <w:r w:rsidDel="00000000" w:rsidR="00000000" w:rsidRPr="00000000">
        <w:rPr>
          <w:color w:val="222222"/>
          <w:highlight w:val="white"/>
          <w:rtl w:val="0"/>
        </w:rPr>
        <w:t xml:space="preserve">Estas Directrices consolidan, revisan y reemplazan las diversas versiones de las Directrices sobre fusiones emitidas por las Agencias desde las primeras Directrices sobre fusiones del Departamento de Justicia en 1968. Esta revisión se basa en el aprendizaje y la experiencia reflejados en esas Directrices anteriores y en las revisiones sucesivas. Estas Directrices reflejan la experiencia acumulada por las Agencias durante muchos años de revisión de fusiones en una economía cambiante.</w:t>
      </w:r>
    </w:p>
    <w:p w:rsidR="00000000" w:rsidDel="00000000" w:rsidP="00000000" w:rsidRDefault="00000000" w:rsidRPr="00000000" w14:paraId="00000021">
      <w:pPr>
        <w:spacing w:line="360" w:lineRule="auto"/>
        <w:jc w:val="both"/>
        <w:rPr>
          <w:color w:val="222222"/>
          <w:highlight w:val="white"/>
        </w:rPr>
      </w:pPr>
      <w:r w:rsidDel="00000000" w:rsidR="00000000" w:rsidRPr="00000000">
        <w:rPr>
          <w:color w:val="222222"/>
          <w:highlight w:val="white"/>
          <w:rtl w:val="0"/>
        </w:rPr>
        <w:t xml:space="preserve">Inicio página 5</w:t>
      </w:r>
    </w:p>
    <w:p w:rsidR="00000000" w:rsidDel="00000000" w:rsidP="00000000" w:rsidRDefault="00000000" w:rsidRPr="00000000" w14:paraId="00000022">
      <w:pPr>
        <w:spacing w:line="360" w:lineRule="auto"/>
        <w:jc w:val="both"/>
        <w:rPr>
          <w:color w:val="222222"/>
          <w:highlight w:val="white"/>
        </w:rPr>
      </w:pPr>
      <w:r w:rsidDel="00000000" w:rsidR="00000000" w:rsidRPr="00000000">
        <w:rPr>
          <w:color w:val="222222"/>
          <w:highlight w:val="white"/>
          <w:rtl w:val="0"/>
        </w:rPr>
        <w:t xml:space="preserve">Para que su contenido sea accesible para nuevos lectores y útil para los expertos, estas Directrices están organizadas en distintos niveles de detalle:</w:t>
      </w:r>
    </w:p>
    <w:p w:rsidR="00000000" w:rsidDel="00000000" w:rsidP="00000000" w:rsidRDefault="00000000" w:rsidRPr="00000000" w14:paraId="00000023">
      <w:pPr>
        <w:spacing w:line="360" w:lineRule="auto"/>
        <w:jc w:val="both"/>
        <w:rPr>
          <w:color w:val="222222"/>
          <w:highlight w:val="white"/>
        </w:rPr>
      </w:pPr>
      <w:r w:rsidDel="00000000" w:rsidR="00000000" w:rsidRPr="00000000">
        <w:rPr>
          <w:color w:val="222222"/>
          <w:highlight w:val="white"/>
          <w:rtl w:val="0"/>
        </w:rPr>
        <w:t xml:space="preserve">La descripción general describe las pautas en forma resumida para ayudar al público y a los participantes del mercado a identificar posibles preocupaciones y comprender el enfoque de las Agencias.</w:t>
      </w:r>
    </w:p>
    <w:p w:rsidR="00000000" w:rsidDel="00000000" w:rsidP="00000000" w:rsidRDefault="00000000" w:rsidRPr="00000000" w14:paraId="00000024">
      <w:pPr>
        <w:spacing w:line="360" w:lineRule="auto"/>
        <w:jc w:val="both"/>
        <w:rPr>
          <w:color w:val="222222"/>
          <w:highlight w:val="white"/>
        </w:rPr>
      </w:pPr>
      <w:r w:rsidDel="00000000" w:rsidR="00000000" w:rsidRPr="00000000">
        <w:rPr>
          <w:color w:val="222222"/>
          <w:highlight w:val="white"/>
          <w:rtl w:val="0"/>
        </w:rPr>
        <w:t xml:space="preserve">La Sección II analiza la aplicación de estas Directrices con más detalle.</w:t>
      </w:r>
    </w:p>
    <w:p w:rsidR="00000000" w:rsidDel="00000000" w:rsidP="00000000" w:rsidRDefault="00000000" w:rsidRPr="00000000" w14:paraId="00000025">
      <w:pPr>
        <w:spacing w:line="360" w:lineRule="auto"/>
        <w:jc w:val="both"/>
        <w:rPr>
          <w:color w:val="222222"/>
          <w:highlight w:val="white"/>
        </w:rPr>
      </w:pPr>
      <w:r w:rsidDel="00000000" w:rsidR="00000000" w:rsidRPr="00000000">
        <w:rPr>
          <w:color w:val="222222"/>
          <w:highlight w:val="white"/>
          <w:rtl w:val="0"/>
        </w:rPr>
        <w:t xml:space="preserve">La Sección III identifica algunas de las herramientas que utilizan las Agencias para definir los mercados relevantes; y</w:t>
      </w:r>
    </w:p>
    <w:p w:rsidR="00000000" w:rsidDel="00000000" w:rsidP="00000000" w:rsidRDefault="00000000" w:rsidRPr="00000000" w14:paraId="00000026">
      <w:pPr>
        <w:spacing w:line="360" w:lineRule="auto"/>
        <w:jc w:val="both"/>
        <w:rPr>
          <w:color w:val="222222"/>
          <w:highlight w:val="white"/>
        </w:rPr>
      </w:pPr>
      <w:r w:rsidDel="00000000" w:rsidR="00000000" w:rsidRPr="00000000">
        <w:rPr>
          <w:color w:val="222222"/>
          <w:highlight w:val="white"/>
          <w:rtl w:val="0"/>
        </w:rPr>
        <w:t xml:space="preserve">La Sección IV explica cómo las Agencias abordan varios tipos comunes de evidencia de refutación.*21</w:t>
      </w:r>
    </w:p>
    <w:p w:rsidR="00000000" w:rsidDel="00000000" w:rsidP="00000000" w:rsidRDefault="00000000" w:rsidRPr="00000000" w14:paraId="00000027">
      <w:pPr>
        <w:spacing w:line="360" w:lineRule="auto"/>
        <w:jc w:val="both"/>
        <w:rPr>
          <w:color w:val="222222"/>
          <w:highlight w:val="white"/>
        </w:rPr>
      </w:pPr>
      <w:r w:rsidDel="00000000" w:rsidR="00000000" w:rsidRPr="00000000">
        <w:rPr>
          <w:color w:val="222222"/>
          <w:highlight w:val="white"/>
          <w:rtl w:val="0"/>
        </w:rPr>
        <w:t xml:space="preserve">A estas Directrices les siguen varios apéndices. Los Apéndices describen las herramientas probatorias y analíticas que las Agencias suelen utilizar.</w:t>
      </w:r>
    </w:p>
    <w:p w:rsidR="00000000" w:rsidDel="00000000" w:rsidP="00000000" w:rsidRDefault="00000000" w:rsidRPr="00000000" w14:paraId="00000028">
      <w:pPr>
        <w:spacing w:line="360" w:lineRule="auto"/>
        <w:jc w:val="both"/>
        <w:rPr>
          <w:color w:val="222222"/>
          <w:highlight w:val="white"/>
        </w:rPr>
      </w:pPr>
      <w:r w:rsidDel="00000000" w:rsidR="00000000" w:rsidRPr="00000000">
        <w:rPr>
          <w:color w:val="222222"/>
          <w:highlight w:val="white"/>
          <w:rtl w:val="0"/>
        </w:rPr>
        <w:t xml:space="preserve">El Apéndice 1 analiza las fuentes de evidencia en las que comúnmente se basan las Agencias.</w:t>
      </w:r>
    </w:p>
    <w:p w:rsidR="00000000" w:rsidDel="00000000" w:rsidP="00000000" w:rsidRDefault="00000000" w:rsidRPr="00000000" w14:paraId="00000029">
      <w:pPr>
        <w:spacing w:line="360" w:lineRule="auto"/>
        <w:jc w:val="both"/>
        <w:rPr>
          <w:color w:val="222222"/>
          <w:highlight w:val="white"/>
        </w:rPr>
      </w:pPr>
      <w:r w:rsidDel="00000000" w:rsidR="00000000" w:rsidRPr="00000000">
        <w:rPr>
          <w:color w:val="222222"/>
          <w:highlight w:val="white"/>
          <w:rtl w:val="0"/>
        </w:rPr>
        <w:t xml:space="preserve">El Apéndice 2 describe las herramientas que a veces se utilizan para evaluar la competencia entre empresas.</w:t>
      </w:r>
    </w:p>
    <w:p w:rsidR="00000000" w:rsidDel="00000000" w:rsidP="00000000" w:rsidRDefault="00000000" w:rsidRPr="00000000" w14:paraId="0000002A">
      <w:pPr>
        <w:spacing w:line="360" w:lineRule="auto"/>
        <w:jc w:val="both"/>
        <w:rPr>
          <w:color w:val="222222"/>
          <w:highlight w:val="white"/>
        </w:rPr>
      </w:pPr>
      <w:r w:rsidDel="00000000" w:rsidR="00000000" w:rsidRPr="00000000">
        <w:rPr>
          <w:color w:val="222222"/>
          <w:highlight w:val="white"/>
          <w:rtl w:val="0"/>
        </w:rPr>
        <w:t xml:space="preserve">El Apéndice 3 analiza detalles adicionales sobre el proceso para definir los mercados relevantes.</w:t>
      </w:r>
    </w:p>
    <w:p w:rsidR="00000000" w:rsidDel="00000000" w:rsidP="00000000" w:rsidRDefault="00000000" w:rsidRPr="00000000" w14:paraId="0000002B">
      <w:pPr>
        <w:spacing w:line="360" w:lineRule="auto"/>
        <w:jc w:val="both"/>
        <w:rPr>
          <w:color w:val="222222"/>
          <w:highlight w:val="white"/>
        </w:rPr>
      </w:pPr>
      <w:r w:rsidDel="00000000" w:rsidR="00000000" w:rsidRPr="00000000">
        <w:rPr>
          <w:color w:val="222222"/>
          <w:highlight w:val="white"/>
          <w:rtl w:val="0"/>
        </w:rPr>
        <w:t xml:space="preserve">El Apéndice 4 explica cómo las Agencias suelen calcular las cuotas de mercado y las métricas de concentración.</w:t>
      </w:r>
    </w:p>
    <w:p w:rsidR="00000000" w:rsidDel="00000000" w:rsidP="00000000" w:rsidRDefault="00000000" w:rsidRPr="00000000" w14:paraId="0000002C">
      <w:pPr>
        <w:spacing w:line="360" w:lineRule="auto"/>
        <w:jc w:val="both"/>
        <w:rPr>
          <w:color w:val="222222"/>
          <w:highlight w:val="white"/>
        </w:rPr>
      </w:pPr>
      <w:r w:rsidDel="00000000" w:rsidR="00000000" w:rsidRPr="00000000">
        <w:rPr>
          <w:color w:val="222222"/>
          <w:highlight w:val="white"/>
          <w:rtl w:val="0"/>
        </w:rPr>
        <w:t xml:space="preserve">Estas Directrices no crean derechos u obligaciones independientes y no limitan la discreción de las Agencias o su personal de ninguna manera. Aunque las Directrices identifican los factores y marcos que las Agencias consideran al investigar fusiones, las decisiones de ejecución de las Agencias necesariamente seguirán requiriendo discreción y juicio procesal. Debido a que los estándares específicos establecidos en estas Directrices deben aplicarse a una amplia gama de circunstancias fácticas, las Agencias las aplicarán de manera razonable y flexible a los hechos y circunstancias específicos de cada fusión.</w:t>
      </w:r>
    </w:p>
    <w:p w:rsidR="00000000" w:rsidDel="00000000" w:rsidP="00000000" w:rsidRDefault="00000000" w:rsidRPr="00000000" w14:paraId="0000002D">
      <w:pPr>
        <w:spacing w:line="360" w:lineRule="auto"/>
        <w:jc w:val="both"/>
        <w:rPr>
          <w:color w:val="222222"/>
          <w:highlight w:val="white"/>
        </w:rPr>
      </w:pPr>
      <w:r w:rsidDel="00000000" w:rsidR="00000000" w:rsidRPr="00000000">
        <w:rPr>
          <w:color w:val="222222"/>
          <w:highlight w:val="white"/>
          <w:rtl w:val="0"/>
        </w:rPr>
        <w:t xml:space="preserve">De manera similar, los factores contemplados en estas Directrices no dictan ni agotan el rango de evidencia que las Agencias pueden presentar en un litigio de fusión. En cambio, establecen varios métodos de análisis que pueden ser aplicables dependiendo de la disponibilidad y/o confiabilidad de la información relacionada con un mercado o transacción determinada. Dada la variedad de mercados, participantes del mercado y adquisiciones que encuentran las Agencias, el análisis de fusiones no consiste en la aplicación uniforme de una metodología única. Las Agencias evalúan cualquier evidencia relevante y significativa para evaluar si el efecto de una fusión puede ser sustancialmente el de disminuir la competencia o tender a crear un monopolio. La revisión de fusiones es, en última instancia, un ejercicio de hechos específicos. Las Agencias siguen los hechos al analizar fusiones, como lo hacen en otras áreas de aplicación de la ley.</w:t>
      </w:r>
    </w:p>
    <w:p w:rsidR="00000000" w:rsidDel="00000000" w:rsidP="00000000" w:rsidRDefault="00000000" w:rsidRPr="00000000" w14:paraId="0000002E">
      <w:pPr>
        <w:spacing w:line="360" w:lineRule="auto"/>
        <w:jc w:val="both"/>
        <w:rPr>
          <w:color w:val="222222"/>
          <w:highlight w:val="white"/>
        </w:rPr>
      </w:pPr>
      <w:r w:rsidDel="00000000" w:rsidR="00000000" w:rsidRPr="00000000">
        <w:rPr>
          <w:color w:val="222222"/>
          <w:highlight w:val="white"/>
          <w:rtl w:val="0"/>
        </w:rPr>
        <w:t xml:space="preserve">Estas Directrices incluyen citas de precedentes legales vinculantes. Las citas de decisiones judiciales en estas Directrices no necesariamente sugieren que las Agencias analizarían los hechos en esos casos de manera idéntica hoy. Mientras las Agencias adaptan sus herramientas analíticas a nuevos aprendizajes,</w:t>
      </w:r>
    </w:p>
    <w:p w:rsidR="00000000" w:rsidDel="00000000" w:rsidP="00000000" w:rsidRDefault="00000000" w:rsidRPr="00000000" w14:paraId="0000002F">
      <w:pPr>
        <w:spacing w:line="360" w:lineRule="auto"/>
        <w:jc w:val="both"/>
        <w:rPr>
          <w:color w:val="222222"/>
          <w:highlight w:val="white"/>
        </w:rPr>
      </w:pPr>
      <w:r w:rsidDel="00000000" w:rsidR="00000000" w:rsidRPr="00000000">
        <w:rPr>
          <w:color w:val="222222"/>
          <w:highlight w:val="white"/>
          <w:rtl w:val="0"/>
        </w:rPr>
        <w:t xml:space="preserve">Inicio página 6</w:t>
      </w:r>
    </w:p>
    <w:p w:rsidR="00000000" w:rsidDel="00000000" w:rsidP="00000000" w:rsidRDefault="00000000" w:rsidRPr="00000000" w14:paraId="00000030">
      <w:pPr>
        <w:spacing w:line="360" w:lineRule="auto"/>
        <w:jc w:val="both"/>
        <w:rPr>
          <w:color w:val="222222"/>
          <w:highlight w:val="white"/>
        </w:rPr>
      </w:pPr>
      <w:r w:rsidDel="00000000" w:rsidR="00000000" w:rsidRPr="00000000">
        <w:rPr>
          <w:color w:val="222222"/>
          <w:highlight w:val="white"/>
          <w:rtl w:val="0"/>
        </w:rPr>
        <w:t xml:space="preserve">Las opiniones que reflejan la interpretación de la Corte Suprema de un estatuto se aplican a menos que se modifiquen posteriormente. Por lo tanto, estas Directrices citan proposiciones jurídicas vinculantes para explicar los principios básicos que las Agencias aplican de manera coherente con las herramientas analíticas modernas y las realidades del mercado.</w:t>
      </w:r>
    </w:p>
    <w:p w:rsidR="00000000" w:rsidDel="00000000" w:rsidP="00000000" w:rsidRDefault="00000000" w:rsidRPr="00000000" w14:paraId="00000031">
      <w:pPr>
        <w:spacing w:line="360" w:lineRule="auto"/>
        <w:jc w:val="both"/>
        <w:rPr>
          <w:color w:val="222222"/>
          <w:highlight w:val="white"/>
        </w:rPr>
      </w:pPr>
      <w:r w:rsidDel="00000000" w:rsidR="00000000" w:rsidRPr="00000000">
        <w:rPr>
          <w:color w:val="222222"/>
          <w:highlight w:val="white"/>
          <w:rtl w:val="0"/>
        </w:rPr>
        <w:t xml:space="preserve">II. Aplicación de las directrices sobre fusiones</w:t>
      </w:r>
    </w:p>
    <w:p w:rsidR="00000000" w:rsidDel="00000000" w:rsidP="00000000" w:rsidRDefault="00000000" w:rsidRPr="00000000" w14:paraId="00000032">
      <w:pPr>
        <w:spacing w:line="360" w:lineRule="auto"/>
        <w:jc w:val="both"/>
        <w:rPr>
          <w:color w:val="222222"/>
          <w:highlight w:val="white"/>
        </w:rPr>
      </w:pPr>
      <w:r w:rsidDel="00000000" w:rsidR="00000000" w:rsidRPr="00000000">
        <w:rPr>
          <w:color w:val="222222"/>
          <w:highlight w:val="white"/>
          <w:rtl w:val="0"/>
        </w:rPr>
        <w:t xml:space="preserve">1. Las fusiones no deberían aumentar significativamente la concentración en mercados altamente concentrados.</w:t>
      </w:r>
    </w:p>
    <w:p w:rsidR="00000000" w:rsidDel="00000000" w:rsidP="00000000" w:rsidRDefault="00000000" w:rsidRPr="00000000" w14:paraId="00000033">
      <w:pPr>
        <w:spacing w:line="360" w:lineRule="auto"/>
        <w:jc w:val="both"/>
        <w:rPr>
          <w:color w:val="222222"/>
          <w:highlight w:val="white"/>
        </w:rPr>
      </w:pPr>
      <w:r w:rsidDel="00000000" w:rsidR="00000000" w:rsidRPr="00000000">
        <w:rPr>
          <w:color w:val="222222"/>
          <w:highlight w:val="white"/>
          <w:rtl w:val="0"/>
        </w:rPr>
        <w:t xml:space="preserve">En mercados altamente concentrados, una fusión que elimina incluso a un competidor relativamente pequeño crea un riesgo indebido de que la fusión pueda reducir sustancialmente la competencia. Como resultado, incluso un aumento relativamente pequeño en la concentración en un mercado relevante puede proporcionar una base para suponer que es probable que una fusión reduzca sustancialmente la competencia. La Corte Suprema ha sostenido que “[una] fusión que produce una empresa que controla un porcentaje indebido del mercado relevante, y da como resultado un aumento significativo en la concentración de empresas en ese mercado, es tan inherentemente probable que reduzca sustancialmente la competencia que debe prohibirse en ausencia de evidencia que demuestre claramente que no es probable que la fusión tenga tales efectos anticompetitivos.”*22 Según la experiencia de las Agencias, este tipo de presunción estructural proporciona una herramienta altamente administrable y útil para identificar fusiones que pueden disminuir sustancialmente competencia.</w:t>
      </w:r>
    </w:p>
    <w:p w:rsidR="00000000" w:rsidDel="00000000" w:rsidP="00000000" w:rsidRDefault="00000000" w:rsidRPr="00000000" w14:paraId="00000034">
      <w:pPr>
        <w:spacing w:line="360" w:lineRule="auto"/>
        <w:jc w:val="both"/>
        <w:rPr>
          <w:color w:val="222222"/>
          <w:highlight w:val="white"/>
        </w:rPr>
      </w:pPr>
      <w:r w:rsidDel="00000000" w:rsidR="00000000" w:rsidRPr="00000000">
        <w:rPr>
          <w:color w:val="222222"/>
          <w:highlight w:val="white"/>
          <w:rtl w:val="0"/>
        </w:rPr>
        <w:t xml:space="preserve">La “concentración” refleja el número y el tamaño relativo de las empresas que compiten para ofrecer un producto*23 o servicio a un grupo de clientes.*24 La concentración es “alta” cuando el mercado sólo tiene unos pocos competidores importantes. Un análisis de concentración comienza con el cálculo de las cuotas de mercado previas a la fusión dentro de un mercado relevante (véanse la Sección III y el Apéndice 4) y luego procede a evaluar si la fusión conduciría a una concentración indebida en ese mercado o la aumentaría.*25</w:t>
      </w:r>
    </w:p>
    <w:p w:rsidR="00000000" w:rsidDel="00000000" w:rsidP="00000000" w:rsidRDefault="00000000" w:rsidRPr="00000000" w14:paraId="00000035">
      <w:pPr>
        <w:spacing w:line="360" w:lineRule="auto"/>
        <w:jc w:val="both"/>
        <w:rPr>
          <w:color w:val="222222"/>
          <w:highlight w:val="white"/>
        </w:rPr>
      </w:pPr>
      <w:r w:rsidDel="00000000" w:rsidR="00000000" w:rsidRPr="00000000">
        <w:rPr>
          <w:color w:val="222222"/>
          <w:highlight w:val="white"/>
          <w:rtl w:val="0"/>
        </w:rPr>
        <w:t xml:space="preserve">Las Agencias generalmente miden los niveles de concentración utilizando el Índice Herfindahl-Hirschman (“HHI”). El HHI se define como la suma de los cuadrados de las cuotas de mercado; es pequeño cuando hay muchas empresas pequeñas y crece a medida que el mercado se vuelve más concentrado, llegando a 10.000 en un mercado con una sola empresa. Los mercados con un HHI posterior a la fusión superior a 1.800 están altamente concentrados.*26 Una fusión causa una concentración indebida y desencadena una presunción estructural de que la fusión puede disminuir sustancialmente la competencia o tender a crear un monopolio cuando daría como resultado un mercado altamente concentrado y produciría un aumento del HHI de más</w:t>
      </w:r>
    </w:p>
    <w:p w:rsidR="00000000" w:rsidDel="00000000" w:rsidP="00000000" w:rsidRDefault="00000000" w:rsidRPr="00000000" w14:paraId="00000036">
      <w:pPr>
        <w:spacing w:line="360" w:lineRule="auto"/>
        <w:jc w:val="both"/>
        <w:rPr>
          <w:color w:val="222222"/>
          <w:highlight w:val="white"/>
        </w:rPr>
      </w:pPr>
      <w:r w:rsidDel="00000000" w:rsidR="00000000" w:rsidRPr="00000000">
        <w:rPr>
          <w:color w:val="222222"/>
          <w:highlight w:val="white"/>
          <w:rtl w:val="0"/>
        </w:rPr>
        <w:t xml:space="preserve">Inicio página 7</w:t>
      </w:r>
    </w:p>
    <w:p w:rsidR="00000000" w:rsidDel="00000000" w:rsidP="00000000" w:rsidRDefault="00000000" w:rsidRPr="00000000" w14:paraId="00000037">
      <w:pPr>
        <w:spacing w:line="360" w:lineRule="auto"/>
        <w:jc w:val="both"/>
        <w:rPr>
          <w:color w:val="222222"/>
          <w:highlight w:val="white"/>
        </w:rPr>
      </w:pPr>
      <w:r w:rsidDel="00000000" w:rsidR="00000000" w:rsidRPr="00000000">
        <w:rPr>
          <w:color w:val="222222"/>
          <w:highlight w:val="white"/>
          <w:rtl w:val="0"/>
        </w:rPr>
        <w:t xml:space="preserve">más de 100 puntos.*27 Las Agencias también pueden examinar la participación de mercado de la empresa incorporada: una fusión que aumenta significativamente la concentración y crea una empresa con una participación superior al treinta por ciento presenta una amenaza impensable de concentración indebida, independientemente del nivel general de concentración del mercado. .*28</w:t>
      </w:r>
    </w:p>
    <w:p w:rsidR="00000000" w:rsidDel="00000000" w:rsidP="00000000" w:rsidRDefault="00000000" w:rsidRPr="00000000" w14:paraId="00000038">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tablas</w:t>
      </w:r>
    </w:p>
    <w:p w:rsidR="00000000" w:rsidDel="00000000" w:rsidP="00000000" w:rsidRDefault="00000000" w:rsidRPr="00000000" w14:paraId="00000039">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HHI posterior a la fusión:</w:t>
      </w:r>
    </w:p>
    <w:p w:rsidR="00000000" w:rsidDel="00000000" w:rsidP="00000000" w:rsidRDefault="00000000" w:rsidRPr="00000000" w14:paraId="0000003A">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HHI del mercado superior a 1.800</w:t>
      </w:r>
    </w:p>
    <w:p w:rsidR="00000000" w:rsidDel="00000000" w:rsidP="00000000" w:rsidRDefault="00000000" w:rsidRPr="00000000" w14:paraId="0000003B">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Y</w:t>
      </w:r>
    </w:p>
    <w:p w:rsidR="00000000" w:rsidDel="00000000" w:rsidP="00000000" w:rsidRDefault="00000000" w:rsidRPr="00000000" w14:paraId="0000003C">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Cambio en HHI mayor que 100</w:t>
      </w:r>
    </w:p>
    <w:p w:rsidR="00000000" w:rsidDel="00000000" w:rsidP="00000000" w:rsidRDefault="00000000" w:rsidRPr="00000000" w14:paraId="0000003D">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Cuota de mercado de la empresa fusionada:</w:t>
      </w:r>
    </w:p>
    <w:p w:rsidR="00000000" w:rsidDel="00000000" w:rsidP="00000000" w:rsidRDefault="00000000" w:rsidRPr="00000000" w14:paraId="0000003E">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Participación superior al 30%</w:t>
      </w:r>
    </w:p>
    <w:p w:rsidR="00000000" w:rsidDel="00000000" w:rsidP="00000000" w:rsidRDefault="00000000" w:rsidRPr="00000000" w14:paraId="0000003F">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Y</w:t>
      </w:r>
    </w:p>
    <w:p w:rsidR="00000000" w:rsidDel="00000000" w:rsidP="00000000" w:rsidRDefault="00000000" w:rsidRPr="00000000" w14:paraId="00000040">
      <w:pPr>
        <w:numPr>
          <w:ilvl w:val="0"/>
          <w:numId w:val="1"/>
        </w:numPr>
        <w:spacing w:line="360" w:lineRule="auto"/>
        <w:ind w:left="720" w:hanging="360"/>
        <w:jc w:val="both"/>
        <w:rPr>
          <w:color w:val="222222"/>
          <w:highlight w:val="white"/>
        </w:rPr>
      </w:pPr>
      <w:r w:rsidDel="00000000" w:rsidR="00000000" w:rsidRPr="00000000">
        <w:rPr>
          <w:color w:val="222222"/>
          <w:highlight w:val="white"/>
          <w:rtl w:val="0"/>
        </w:rPr>
        <w:t xml:space="preserve">Cambio en HHI mayor que 100</w:t>
      </w:r>
    </w:p>
    <w:p w:rsidR="00000000" w:rsidDel="00000000" w:rsidP="00000000" w:rsidRDefault="00000000" w:rsidRPr="00000000" w14:paraId="00000041">
      <w:pPr>
        <w:spacing w:line="360" w:lineRule="auto"/>
        <w:jc w:val="both"/>
        <w:rPr>
          <w:color w:val="222222"/>
          <w:highlight w:val="white"/>
        </w:rPr>
      </w:pPr>
      <w:r w:rsidDel="00000000" w:rsidR="00000000" w:rsidRPr="00000000">
        <w:rPr>
          <w:color w:val="222222"/>
          <w:highlight w:val="white"/>
          <w:rtl w:val="0"/>
        </w:rPr>
        <w:t xml:space="preserve">Niveles de concentración más altos sugieren un riesgo aún mayor de que la fusión pueda reducir sustancialmente la competencia.*29</w:t>
      </w:r>
    </w:p>
    <w:p w:rsidR="00000000" w:rsidDel="00000000" w:rsidP="00000000" w:rsidRDefault="00000000" w:rsidRPr="00000000" w14:paraId="00000042">
      <w:pPr>
        <w:spacing w:line="360" w:lineRule="auto"/>
        <w:jc w:val="both"/>
        <w:rPr>
          <w:color w:val="222222"/>
          <w:highlight w:val="white"/>
        </w:rPr>
      </w:pPr>
      <w:r w:rsidDel="00000000" w:rsidR="00000000" w:rsidRPr="00000000">
        <w:rPr>
          <w:color w:val="222222"/>
          <w:highlight w:val="white"/>
          <w:rtl w:val="0"/>
        </w:rPr>
        <w:t xml:space="preserve">2. Las fusiones no deberían eliminar la competencia sustancial entre empresas.</w:t>
      </w:r>
    </w:p>
    <w:p w:rsidR="00000000" w:rsidDel="00000000" w:rsidP="00000000" w:rsidRDefault="00000000" w:rsidRPr="00000000" w14:paraId="00000043">
      <w:pPr>
        <w:spacing w:line="360" w:lineRule="auto"/>
        <w:jc w:val="both"/>
        <w:rPr>
          <w:color w:val="222222"/>
          <w:highlight w:val="white"/>
        </w:rPr>
      </w:pPr>
      <w:r w:rsidDel="00000000" w:rsidR="00000000" w:rsidRPr="00000000">
        <w:rPr>
          <w:color w:val="222222"/>
          <w:highlight w:val="white"/>
          <w:rtl w:val="0"/>
        </w:rPr>
        <w:t xml:space="preserve">Una fusión elimina la competencia entre las empresas que se fusionan al ponerlas bajo control conjunto. Si la evidencia demuestra una competencia sustancial entre las partes que se fusionan antes de la fusión, las Agencias pueden determinar que la fusión puede reducir sustancialmente la competencia.*30</w:t>
      </w:r>
    </w:p>
    <w:p w:rsidR="00000000" w:rsidDel="00000000" w:rsidP="00000000" w:rsidRDefault="00000000" w:rsidRPr="00000000" w14:paraId="00000044">
      <w:pPr>
        <w:spacing w:line="360" w:lineRule="auto"/>
        <w:jc w:val="both"/>
        <w:rPr>
          <w:color w:val="222222"/>
          <w:highlight w:val="white"/>
        </w:rPr>
      </w:pPr>
      <w:r w:rsidDel="00000000" w:rsidR="00000000" w:rsidRPr="00000000">
        <w:rPr>
          <w:color w:val="222222"/>
          <w:highlight w:val="white"/>
          <w:rtl w:val="0"/>
        </w:rPr>
        <w:t xml:space="preserve">Inicio página 8</w:t>
      </w:r>
    </w:p>
    <w:p w:rsidR="00000000" w:rsidDel="00000000" w:rsidP="00000000" w:rsidRDefault="00000000" w:rsidRPr="00000000" w14:paraId="00000045">
      <w:pPr>
        <w:spacing w:line="360" w:lineRule="auto"/>
        <w:jc w:val="both"/>
        <w:rPr>
          <w:color w:val="222222"/>
          <w:highlight w:val="white"/>
        </w:rPr>
      </w:pPr>
      <w:r w:rsidDel="00000000" w:rsidR="00000000" w:rsidRPr="00000000">
        <w:rPr>
          <w:color w:val="222222"/>
          <w:highlight w:val="white"/>
          <w:rtl w:val="0"/>
        </w:rPr>
        <w:t xml:space="preserve">Centrarse en la competencia entre las partes en la fusión puede revelar que una fusión entre competidores puede disminuir sustancialmente la competencia incluso cuando las cuotas de mercado son difíciles de medir o cuando las cuotas de mercado subestiman la importancia competitiva de las partes en la fusión entre sí.</w:t>
      </w:r>
    </w:p>
    <w:p w:rsidR="00000000" w:rsidDel="00000000" w:rsidP="00000000" w:rsidRDefault="00000000" w:rsidRPr="00000000" w14:paraId="00000046">
      <w:pPr>
        <w:spacing w:line="360" w:lineRule="auto"/>
        <w:jc w:val="both"/>
        <w:rPr>
          <w:color w:val="222222"/>
          <w:highlight w:val="white"/>
        </w:rPr>
      </w:pPr>
      <w:r w:rsidDel="00000000" w:rsidR="00000000" w:rsidRPr="00000000">
        <w:rPr>
          <w:color w:val="222222"/>
          <w:highlight w:val="white"/>
          <w:rtl w:val="0"/>
        </w:rPr>
        <w:t xml:space="preserve">La competencia a menudo implica que las empresas intenten ganar negocios ofreciendo precios más bajos, productos y servicios nuevos o mejores, características más atractivas, salarios más altos, mejores beneficios o mejores condiciones relacionadas con varias dimensiones adicionales de la competencia. Cuanto más las partes en la fusión hayan moldeado el comportamiento de cada una de ellas, o hayan afectado sus ventas, beneficios, valoraciones u otros factores de comportamiento, más importante será la competencia entre ellas.</w:t>
      </w:r>
    </w:p>
    <w:p w:rsidR="00000000" w:rsidDel="00000000" w:rsidP="00000000" w:rsidRDefault="00000000" w:rsidRPr="00000000" w14:paraId="00000047">
      <w:pPr>
        <w:spacing w:line="360" w:lineRule="auto"/>
        <w:jc w:val="both"/>
        <w:rPr>
          <w:color w:val="222222"/>
          <w:highlight w:val="white"/>
        </w:rPr>
      </w:pPr>
      <w:r w:rsidDel="00000000" w:rsidR="00000000" w:rsidRPr="00000000">
        <w:rPr>
          <w:color w:val="222222"/>
          <w:highlight w:val="white"/>
          <w:rtl w:val="0"/>
        </w:rPr>
        <w:t xml:space="preserve">Las Agencias examinan una variedad de indicadores para identificar una competencia sustancial. Por ejemplo:</w:t>
      </w:r>
    </w:p>
    <w:p w:rsidR="00000000" w:rsidDel="00000000" w:rsidP="00000000" w:rsidRDefault="00000000" w:rsidRPr="00000000" w14:paraId="00000048">
      <w:pPr>
        <w:spacing w:line="360" w:lineRule="auto"/>
        <w:jc w:val="both"/>
        <w:rPr>
          <w:color w:val="222222"/>
          <w:highlight w:val="white"/>
        </w:rPr>
      </w:pPr>
      <w:r w:rsidDel="00000000" w:rsidR="00000000" w:rsidRPr="00000000">
        <w:rPr>
          <w:color w:val="222222"/>
          <w:highlight w:val="white"/>
          <w:rtl w:val="0"/>
        </w:rPr>
        <w:t xml:space="preserve">Deliberaciones o Decisiones Estratégicas. Las Agencias podrán analizar el alcance de la competencia entre las empresas que se fusionan examinando evidencia relacionada con deliberaciones o decisiones estratégicas en el curso normal de los negocios. Por ejemplo, en algunos mercados, las empresas pueden monitorear mutuamente los precios, las campañas de marketing, la ubicación de las instalaciones, las mejoras, los productos, la capacidad, la producción y/o los planes de innovación. Esto puede proporcionar evidencia de competencia entre las empresas que se fusionan, especialmente cuando reaccionan tomando medidas para preservar o mejorar la competitividad o rentabilidad de sus propios productos o servicios.</w:t>
      </w:r>
    </w:p>
    <w:p w:rsidR="00000000" w:rsidDel="00000000" w:rsidP="00000000" w:rsidRDefault="00000000" w:rsidRPr="00000000" w14:paraId="00000049">
      <w:pPr>
        <w:spacing w:line="360" w:lineRule="auto"/>
        <w:jc w:val="both"/>
        <w:rPr>
          <w:color w:val="222222"/>
          <w:highlight w:val="white"/>
        </w:rPr>
      </w:pPr>
      <w:r w:rsidDel="00000000" w:rsidR="00000000" w:rsidRPr="00000000">
        <w:rPr>
          <w:color w:val="222222"/>
          <w:highlight w:val="white"/>
          <w:rtl w:val="0"/>
        </w:rPr>
        <w:t xml:space="preserve">Eventos previos de fusión, entrada y salida. Las Agencias pueden recurrir a acontecimientos históricos para evaluar la presencia y la sustancialidad de la competencia directa entre las empresas que se fusionan. Por ejemplo, las Agencias pueden examinar el impacto de fusiones, entradas, expansiones o eventos relevantes recientes.</w:t>
      </w:r>
    </w:p>
    <w:p w:rsidR="00000000" w:rsidDel="00000000" w:rsidP="00000000" w:rsidRDefault="00000000" w:rsidRPr="00000000" w14:paraId="0000004A">
      <w:pPr>
        <w:spacing w:line="360" w:lineRule="auto"/>
        <w:jc w:val="both"/>
        <w:rPr>
          <w:color w:val="222222"/>
          <w:highlight w:val="white"/>
        </w:rPr>
      </w:pPr>
      <w:r w:rsidDel="00000000" w:rsidR="00000000" w:rsidRPr="00000000">
        <w:rPr>
          <w:color w:val="222222"/>
          <w:highlight w:val="white"/>
          <w:rtl w:val="0"/>
        </w:rPr>
        <w:t xml:space="preserve">Sustitución de Clientes. La voluntad de los clientes de cambiar entre los productos de diferentes empresas es una parte importante del proceso competitivo. Las empresas son competidoras más cercanas cuanto más dispuestos están los clientes a cambiar entre sus productos. Las Agencias utilizan una variedad de herramientas, detalladas en el Apéndice 2, para evaluar la sustitución de clientes.</w:t>
      </w:r>
    </w:p>
    <w:p w:rsidR="00000000" w:rsidDel="00000000" w:rsidP="00000000" w:rsidRDefault="00000000" w:rsidRPr="00000000" w14:paraId="0000004B">
      <w:pPr>
        <w:spacing w:line="360" w:lineRule="auto"/>
        <w:jc w:val="both"/>
        <w:rPr>
          <w:color w:val="222222"/>
          <w:highlight w:val="white"/>
        </w:rPr>
      </w:pPr>
      <w:r w:rsidDel="00000000" w:rsidR="00000000" w:rsidRPr="00000000">
        <w:rPr>
          <w:color w:val="222222"/>
          <w:highlight w:val="white"/>
          <w:rtl w:val="0"/>
        </w:rPr>
        <w:t xml:space="preserve">Impacto de las acciones competitivas sobre los rivales. Las acciones competitivas de una empresa pueden aumentar sus ventas a expensas de sus rivales. Las Agencias pueden medir el alcance de la competencia entre las empresas que se fusionan considerando el impacto que las acciones competitivas de una de las empresas que se fusionan tienen sobre la otra empresa que se fusiona. El impacto de las acciones competitivas de una empresa sobre un rival es generalmente mayor cuando los clientes consideran que sus productos son sustitutos más cercanos, de modo que las acciones competitivas de una empresa resultan en mayores pérdidas de ventas para el rival, y cuando la rentabilidad de las ventas perdidas del rival es mayor.</w:t>
      </w:r>
    </w:p>
    <w:p w:rsidR="00000000" w:rsidDel="00000000" w:rsidP="00000000" w:rsidRDefault="00000000" w:rsidRPr="00000000" w14:paraId="0000004C">
      <w:pPr>
        <w:spacing w:line="360" w:lineRule="auto"/>
        <w:jc w:val="both"/>
        <w:rPr>
          <w:color w:val="222222"/>
          <w:highlight w:val="white"/>
        </w:rPr>
      </w:pPr>
      <w:r w:rsidDel="00000000" w:rsidR="00000000" w:rsidRPr="00000000">
        <w:rPr>
          <w:color w:val="222222"/>
          <w:highlight w:val="white"/>
          <w:rtl w:val="0"/>
        </w:rPr>
        <w:t xml:space="preserve">Impacto de la eliminación de la competencia entre las empresas. En algunos casos, puede haber pruebas disponibles para evaluar el impacto de la competencia de una empresa en las acciones de la otra, como</w:t>
      </w:r>
    </w:p>
    <w:p w:rsidR="00000000" w:rsidDel="00000000" w:rsidP="00000000" w:rsidRDefault="00000000" w:rsidRPr="00000000" w14:paraId="0000004D">
      <w:pPr>
        <w:spacing w:line="360" w:lineRule="auto"/>
        <w:jc w:val="both"/>
        <w:rPr>
          <w:color w:val="222222"/>
          <w:highlight w:val="white"/>
        </w:rPr>
      </w:pPr>
      <w:r w:rsidDel="00000000" w:rsidR="00000000" w:rsidRPr="00000000">
        <w:rPr>
          <w:color w:val="222222"/>
          <w:highlight w:val="white"/>
          <w:rtl w:val="0"/>
        </w:rPr>
        <w:t xml:space="preserve">Inicio página 9</w:t>
      </w:r>
    </w:p>
    <w:p w:rsidR="00000000" w:rsidDel="00000000" w:rsidP="00000000" w:rsidRDefault="00000000" w:rsidRPr="00000000" w14:paraId="0000004E">
      <w:pPr>
        <w:spacing w:line="360" w:lineRule="auto"/>
        <w:jc w:val="both"/>
        <w:rPr>
          <w:color w:val="222222"/>
          <w:highlight w:val="white"/>
        </w:rPr>
      </w:pPr>
      <w:r w:rsidDel="00000000" w:rsidR="00000000" w:rsidRPr="00000000">
        <w:rPr>
          <w:color w:val="222222"/>
          <w:highlight w:val="white"/>
          <w:rtl w:val="0"/>
        </w:rPr>
        <w:t xml:space="preserve">como decisiones firmes sobre precio, calidad, salarios u otra dimensión de la competencia. El Apéndice 2 describe una variedad de enfoques para medir dichos impactos.</w:t>
      </w:r>
    </w:p>
    <w:p w:rsidR="00000000" w:rsidDel="00000000" w:rsidP="00000000" w:rsidRDefault="00000000" w:rsidRPr="00000000" w14:paraId="0000004F">
      <w:pPr>
        <w:spacing w:line="360" w:lineRule="auto"/>
        <w:jc w:val="both"/>
        <w:rPr>
          <w:color w:val="222222"/>
          <w:highlight w:val="white"/>
        </w:rPr>
      </w:pPr>
      <w:r w:rsidDel="00000000" w:rsidR="00000000" w:rsidRPr="00000000">
        <w:rPr>
          <w:color w:val="222222"/>
          <w:highlight w:val="white"/>
          <w:rtl w:val="0"/>
        </w:rPr>
        <w:t xml:space="preserve">Evidencia, herramientas y métricas adicionales. Las Agencias podrán utilizar evidencia, herramientas y métricas adicionales para evaluar la pérdida de competencia entre las empresas. Dependiendo de las realidades del mercado, pueden ser apropiadas diferentes evidencias, herramientas o métricas. El Apéndice 2 proporciona ejemplos y detalles sobre varias herramientas y configuraciones.</w:t>
      </w:r>
    </w:p>
    <w:p w:rsidR="00000000" w:rsidDel="00000000" w:rsidP="00000000" w:rsidRDefault="00000000" w:rsidRPr="00000000" w14:paraId="00000050">
      <w:pPr>
        <w:spacing w:line="360" w:lineRule="auto"/>
        <w:jc w:val="both"/>
        <w:rPr>
          <w:color w:val="222222"/>
          <w:highlight w:val="white"/>
        </w:rPr>
      </w:pPr>
      <w:r w:rsidDel="00000000" w:rsidR="00000000" w:rsidRPr="00000000">
        <w:rPr>
          <w:color w:val="222222"/>
          <w:highlight w:val="white"/>
          <w:rtl w:val="0"/>
        </w:rPr>
        <w:t xml:space="preserve">3. Las fusiones no deberían aumentar el riesgo de coordinación.</w:t>
      </w:r>
    </w:p>
    <w:p w:rsidR="00000000" w:rsidDel="00000000" w:rsidP="00000000" w:rsidRDefault="00000000" w:rsidRPr="00000000" w14:paraId="00000051">
      <w:pPr>
        <w:spacing w:line="360" w:lineRule="auto"/>
        <w:jc w:val="both"/>
        <w:rPr>
          <w:color w:val="222222"/>
          <w:highlight w:val="white"/>
        </w:rPr>
      </w:pPr>
      <w:r w:rsidDel="00000000" w:rsidR="00000000" w:rsidRPr="00000000">
        <w:rPr>
          <w:color w:val="222222"/>
          <w:highlight w:val="white"/>
          <w:rtl w:val="0"/>
        </w:rPr>
        <w:t xml:space="preserve">Las Agencias determinan que una fusión puede reducir sustancialmente la competencia cuando aumenta significativamente el riesgo de coordinación entre las empresas restantes en un mercado relevante o hace que la coordinación existente sea más estable o efectiva.*31 Las empresas pueden coordinarse en cualquiera o en todas las dimensiones de la competencia, como precio, características del producto, clientes, salarios, beneficios o geografía. La coordinación entre rivales disminuye la competencia, ya sea que ocurra explícitamente (a través de acuerdos colusorios entre competidores para no competir o competir menos) o tácitamente, a través de la observación y la respuesta a los rivales. Debido a que la coordinación tácita puede ser difícil de abordar bajo la Sección 1 de la Ley Sherman, la aplicación vigorosa de la Sección 7 de la Ley Clayton para evitar estructuras de mercado que conduzcan a dicha coordinación es especialmente crítica.</w:t>
      </w:r>
    </w:p>
    <w:p w:rsidR="00000000" w:rsidDel="00000000" w:rsidP="00000000" w:rsidRDefault="00000000" w:rsidRPr="00000000" w14:paraId="00000052">
      <w:pPr>
        <w:spacing w:line="360" w:lineRule="auto"/>
        <w:jc w:val="both"/>
        <w:rPr>
          <w:color w:val="222222"/>
          <w:highlight w:val="white"/>
        </w:rPr>
      </w:pPr>
      <w:r w:rsidDel="00000000" w:rsidR="00000000" w:rsidRPr="00000000">
        <w:rPr>
          <w:color w:val="222222"/>
          <w:highlight w:val="white"/>
          <w:rtl w:val="0"/>
        </w:rPr>
        <w:t xml:space="preserve">Para evaluar en qué medida una fusión puede aumentar la probabilidad, la estabilidad o la eficacia de la coordinación, las Agencias suelen considerar tres factores primarios y varios factores secundarios. Las Agencias podrán considerar factores adicionales dependiendo del mercado.</w:t>
      </w:r>
    </w:p>
    <w:p w:rsidR="00000000" w:rsidDel="00000000" w:rsidP="00000000" w:rsidRDefault="00000000" w:rsidRPr="00000000" w14:paraId="00000053">
      <w:pPr>
        <w:spacing w:line="360" w:lineRule="auto"/>
        <w:jc w:val="both"/>
        <w:rPr>
          <w:color w:val="222222"/>
          <w:highlight w:val="white"/>
        </w:rPr>
      </w:pPr>
      <w:r w:rsidDel="00000000" w:rsidR="00000000" w:rsidRPr="00000000">
        <w:rPr>
          <w:color w:val="222222"/>
          <w:highlight w:val="white"/>
          <w:rtl w:val="0"/>
        </w:rPr>
        <w:t xml:space="preserve">A. Factores primarios</w:t>
      </w:r>
    </w:p>
    <w:p w:rsidR="00000000" w:rsidDel="00000000" w:rsidP="00000000" w:rsidRDefault="00000000" w:rsidRPr="00000000" w14:paraId="00000054">
      <w:pPr>
        <w:spacing w:line="360" w:lineRule="auto"/>
        <w:jc w:val="both"/>
        <w:rPr>
          <w:color w:val="222222"/>
          <w:highlight w:val="white"/>
        </w:rPr>
      </w:pPr>
      <w:r w:rsidDel="00000000" w:rsidR="00000000" w:rsidRPr="00000000">
        <w:rPr>
          <w:color w:val="222222"/>
          <w:highlight w:val="white"/>
          <w:rtl w:val="0"/>
        </w:rPr>
        <w:t xml:space="preserve">Las Agencias suponen que las condiciones del mercado posteriores a la fusión son susceptibles de interacción coordinada si cualquiera de los tres factores principales está presente.</w:t>
      </w:r>
    </w:p>
    <w:p w:rsidR="00000000" w:rsidDel="00000000" w:rsidP="00000000" w:rsidRDefault="00000000" w:rsidRPr="00000000" w14:paraId="00000055">
      <w:pPr>
        <w:spacing w:line="360" w:lineRule="auto"/>
        <w:jc w:val="both"/>
        <w:rPr>
          <w:color w:val="222222"/>
          <w:highlight w:val="white"/>
        </w:rPr>
      </w:pPr>
      <w:r w:rsidDel="00000000" w:rsidR="00000000" w:rsidRPr="00000000">
        <w:rPr>
          <w:color w:val="222222"/>
          <w:highlight w:val="white"/>
          <w:rtl w:val="0"/>
        </w:rPr>
        <w:t xml:space="preserve">Mercado altamente concentrado. Al reducir el número de empresas en un mercado, una fusión aumenta el riesgo de coordinación. Cuanto menor sea el número de rivales competitivamente significativos antes de la fusión, mayor será la probabilidad de que la fusión de dos competidores facilite la coordinación. Los mercados que están altamente concentrados después de una fusión que aumenta significativamente la concentración (ver Directriz 1) son presuntamente susceptibles a la coordinación. Si las partes en la fusión afirman que un mercado altamente concentrado no es susceptible de coordinación, las Agencias evaluarán esta evidencia utilizando el marco descrito en la Sección IV.4. Cuando un mercado no está muy concentrado, las Agencias aún pueden considerar otros factores de riesgo.</w:t>
      </w:r>
    </w:p>
    <w:p w:rsidR="00000000" w:rsidDel="00000000" w:rsidP="00000000" w:rsidRDefault="00000000" w:rsidRPr="00000000" w14:paraId="00000056">
      <w:pPr>
        <w:spacing w:line="360" w:lineRule="auto"/>
        <w:jc w:val="both"/>
        <w:rPr>
          <w:color w:val="222222"/>
          <w:highlight w:val="white"/>
        </w:rPr>
      </w:pPr>
      <w:r w:rsidDel="00000000" w:rsidR="00000000" w:rsidRPr="00000000">
        <w:rPr>
          <w:color w:val="222222"/>
          <w:highlight w:val="white"/>
          <w:rtl w:val="0"/>
        </w:rPr>
        <w:t xml:space="preserve">Intentos previos, reales o intentados, de coordinación. La evidencia de que las empresas que representan una participación sustancial en el mercado relevante parecen haber participado previamente en una coordinación expresa o tácita para disminuir la competencia es muy informativa en cuanto a la susceptibilidad del mercado a la coordinación. La evidencia de intentos fallidos de coordinación en el mercado relevante sugiere que una coordinación exitosa no fue tan difícil como para disuadir los intentos, y una fusión que reduzca el número de rivales puede tender a hacer que el éxito sea más probable.</w:t>
      </w:r>
    </w:p>
    <w:p w:rsidR="00000000" w:rsidDel="00000000" w:rsidP="00000000" w:rsidRDefault="00000000" w:rsidRPr="00000000" w14:paraId="00000057">
      <w:pPr>
        <w:spacing w:line="360" w:lineRule="auto"/>
        <w:jc w:val="both"/>
        <w:rPr>
          <w:color w:val="222222"/>
          <w:highlight w:val="white"/>
        </w:rPr>
      </w:pPr>
      <w:r w:rsidDel="00000000" w:rsidR="00000000" w:rsidRPr="00000000">
        <w:rPr>
          <w:color w:val="222222"/>
          <w:highlight w:val="white"/>
          <w:rtl w:val="0"/>
        </w:rPr>
        <w:t xml:space="preserve">Inicio página 10</w:t>
      </w:r>
    </w:p>
    <w:p w:rsidR="00000000" w:rsidDel="00000000" w:rsidP="00000000" w:rsidRDefault="00000000" w:rsidRPr="00000000" w14:paraId="00000058">
      <w:pPr>
        <w:spacing w:line="360" w:lineRule="auto"/>
        <w:jc w:val="both"/>
        <w:rPr>
          <w:color w:val="222222"/>
          <w:highlight w:val="white"/>
        </w:rPr>
      </w:pPr>
      <w:r w:rsidDel="00000000" w:rsidR="00000000" w:rsidRPr="00000000">
        <w:rPr>
          <w:color w:val="222222"/>
          <w:highlight w:val="white"/>
          <w:rtl w:val="0"/>
        </w:rPr>
        <w:t xml:space="preserve">Eliminación de un Maverick. Un inconformista es una empresa con una presencia disruptiva en un mercado. La presencia de un inconformista sólo reduce el riesgo de coordinación siempre que el inconformista conserve los incentivos disruptivos que impulsan su comportamiento. Una fusión que elimina a un inconformista o cambia significativamente sus incentivos aumenta la susceptibilidad a la coordinación.*32</w:t>
      </w:r>
    </w:p>
    <w:p w:rsidR="00000000" w:rsidDel="00000000" w:rsidP="00000000" w:rsidRDefault="00000000" w:rsidRPr="00000000" w14:paraId="00000059">
      <w:pPr>
        <w:spacing w:line="360" w:lineRule="auto"/>
        <w:jc w:val="both"/>
        <w:rPr>
          <w:color w:val="222222"/>
          <w:highlight w:val="white"/>
        </w:rPr>
      </w:pPr>
      <w:r w:rsidDel="00000000" w:rsidR="00000000" w:rsidRPr="00000000">
        <w:rPr>
          <w:color w:val="222222"/>
          <w:highlight w:val="white"/>
          <w:rtl w:val="0"/>
        </w:rPr>
        <w:t xml:space="preserve">B. Factores secundarios</w:t>
      </w:r>
    </w:p>
    <w:p w:rsidR="00000000" w:rsidDel="00000000" w:rsidP="00000000" w:rsidRDefault="00000000" w:rsidRPr="00000000" w14:paraId="0000005A">
      <w:pPr>
        <w:spacing w:line="360" w:lineRule="auto"/>
        <w:jc w:val="both"/>
        <w:rPr>
          <w:color w:val="222222"/>
          <w:highlight w:val="white"/>
        </w:rPr>
      </w:pPr>
      <w:r w:rsidDel="00000000" w:rsidR="00000000" w:rsidRPr="00000000">
        <w:rPr>
          <w:color w:val="222222"/>
          <w:highlight w:val="white"/>
          <w:rtl w:val="0"/>
        </w:rPr>
        <w:t xml:space="preserve">Las Agencias también examinan si los factores secundarios demuestran que una fusión puede aumentar significativamente el riesgo de coordinación, incluso en ausencia de los factores de riesgo primarios. No todos los factores secundarios deben estar presentes para que un mercado sea susceptible de coordinación.</w:t>
      </w:r>
    </w:p>
    <w:p w:rsidR="00000000" w:rsidDel="00000000" w:rsidP="00000000" w:rsidRDefault="00000000" w:rsidRPr="00000000" w14:paraId="0000005B">
      <w:pPr>
        <w:spacing w:line="360" w:lineRule="auto"/>
        <w:jc w:val="both"/>
        <w:rPr>
          <w:color w:val="222222"/>
          <w:highlight w:val="white"/>
        </w:rPr>
      </w:pPr>
      <w:r w:rsidDel="00000000" w:rsidR="00000000" w:rsidRPr="00000000">
        <w:rPr>
          <w:color w:val="222222"/>
          <w:highlight w:val="white"/>
          <w:rtl w:val="0"/>
        </w:rPr>
        <w:t xml:space="preserve">Concentración de mercado. Incluso en mercados que no están muy concentrados, la coordinación se vuelve más probable a medida que aumenta la concentración. Cuanto más concentrado sea un mercado con un HHI superior a 1.000, más probabilidades habrá de que las Agencias concluyan que la estructura del mercado sugiere susceptibilidad a la coordinación.</w:t>
      </w:r>
    </w:p>
    <w:p w:rsidR="00000000" w:rsidDel="00000000" w:rsidP="00000000" w:rsidRDefault="00000000" w:rsidRPr="00000000" w14:paraId="0000005C">
      <w:pPr>
        <w:spacing w:line="360" w:lineRule="auto"/>
        <w:jc w:val="both"/>
        <w:rPr>
          <w:color w:val="222222"/>
          <w:highlight w:val="white"/>
        </w:rPr>
      </w:pPr>
      <w:r w:rsidDel="00000000" w:rsidR="00000000" w:rsidRPr="00000000">
        <w:rPr>
          <w:color w:val="222222"/>
          <w:highlight w:val="white"/>
          <w:rtl w:val="0"/>
        </w:rPr>
        <w:t xml:space="preserve">Transparencia del mercado. Un mercado es más susceptible a la coordinación si el comportamiento de una empresa puede ser observado rápida y fácilmente por sus rivales. El comportamiento de los rivales se observa más fácilmente cuando los términos ofrecidos a los clientes son fácilmente discernibles y relativamente transparentes (es decir, conocidos por los rivales). La transparencia puede referirse a la capacidad de observar los precios, los términos, las identidades de las empresas que atienden a clientes particulares o cualquier otra acción competitiva de otras empresas. Los acuerdos para compartir información entre los participantes del mercado, como el intercambio público de información a través de anuncios o intercambios privados a través de asociaciones comerciales o publicaciones, aumentan la transparencia del mercado. El seguimiento regular de los precios o de los clientes de cada uno puede indicar que los términos ofrecidos a los clientes son relativamente transparentes. El uso de algoritmos o inteligencia artificial para rastrear o predecir precios o acciones de la competencia también aumenta la transparencia del mercado.</w:t>
      </w:r>
    </w:p>
    <w:p w:rsidR="00000000" w:rsidDel="00000000" w:rsidP="00000000" w:rsidRDefault="00000000" w:rsidRPr="00000000" w14:paraId="0000005D">
      <w:pPr>
        <w:spacing w:line="360" w:lineRule="auto"/>
        <w:jc w:val="both"/>
        <w:rPr>
          <w:color w:val="222222"/>
          <w:highlight w:val="white"/>
        </w:rPr>
      </w:pPr>
      <w:r w:rsidDel="00000000" w:rsidR="00000000" w:rsidRPr="00000000">
        <w:rPr>
          <w:color w:val="222222"/>
          <w:highlight w:val="white"/>
          <w:rtl w:val="0"/>
        </w:rPr>
        <w:t xml:space="preserve">Respuestas competitivas. Un mercado es más susceptible a la coordinación si la posible recompensa competitiva que obtendrá una empresa al alejar clientes de sus rivales se verá significativamente disminuida por las probables respuestas de esos rivales. Es más probable que esto sea así cuanto más fuertes y rápidas sean las respuestas de sus rivales, porque tales respuestas reducen los beneficios de competir de manera más agresiva. Algunos factores que aumentan la probabilidad de respuestas fuertes o rápidas por parte de los rivales incluyen: (1) el mercado tiene pocos competidores importantes, (2) los productos en el mercado relevante son relativamente homogéneos, (3) a los clientes les resulta relativamente fácil cambiar de proveedor, (4) los proveedores utilizan precios algorítmicos, o (5) los proveedores utilizan cláusulas de competencia.</w:t>
      </w:r>
    </w:p>
    <w:p w:rsidR="00000000" w:rsidDel="00000000" w:rsidP="00000000" w:rsidRDefault="00000000" w:rsidRPr="00000000" w14:paraId="0000005E">
      <w:pPr>
        <w:spacing w:line="360" w:lineRule="auto"/>
        <w:jc w:val="both"/>
        <w:rPr>
          <w:color w:val="222222"/>
          <w:highlight w:val="white"/>
        </w:rPr>
      </w:pPr>
      <w:r w:rsidDel="00000000" w:rsidR="00000000" w:rsidRPr="00000000">
        <w:rPr>
          <w:color w:val="222222"/>
          <w:highlight w:val="white"/>
          <w:rtl w:val="0"/>
        </w:rPr>
        <w:t xml:space="preserve">Incentivos alineados. Eliminar una empresa que tiene incentivos diferentes a la mayoría de las demás en un mercado puede aumentar el riesgo de coordinación. Por ejemplo, una empresa con una pequeña participación de mercado puede tener menos incentivos para coordinarse porque tiene más potencial para ganar nuevos negocios que otras empresas. El mismo problema puede surgir cuando una fusión alinea más estrechamente los incentivos de una o ambas empresas fusionadas con las demás empresas del mercado.</w:t>
      </w:r>
    </w:p>
    <w:p w:rsidR="00000000" w:rsidDel="00000000" w:rsidP="00000000" w:rsidRDefault="00000000" w:rsidRPr="00000000" w14:paraId="0000005F">
      <w:pPr>
        <w:spacing w:line="360" w:lineRule="auto"/>
        <w:jc w:val="both"/>
        <w:rPr>
          <w:color w:val="222222"/>
          <w:highlight w:val="white"/>
        </w:rPr>
      </w:pPr>
      <w:r w:rsidDel="00000000" w:rsidR="00000000" w:rsidRPr="00000000">
        <w:rPr>
          <w:color w:val="222222"/>
          <w:highlight w:val="white"/>
          <w:rtl w:val="0"/>
        </w:rPr>
        <w:t xml:space="preserve">Rentabilidad u otras ventajas de la coordinación para los rivales. Las Agencias consideran que es más probable que se produzca una interacción coordinada cuando los participantes en el mercado pueden ganar más de una coordinación exitosa. La coordinación generalmente es más rentable o no.</w:t>
      </w:r>
    </w:p>
    <w:p w:rsidR="00000000" w:rsidDel="00000000" w:rsidP="00000000" w:rsidRDefault="00000000" w:rsidRPr="00000000" w14:paraId="00000060">
      <w:pPr>
        <w:spacing w:line="360" w:lineRule="auto"/>
        <w:jc w:val="both"/>
        <w:rPr>
          <w:color w:val="222222"/>
          <w:highlight w:val="white"/>
        </w:rPr>
      </w:pPr>
      <w:r w:rsidDel="00000000" w:rsidR="00000000" w:rsidRPr="00000000">
        <w:rPr>
          <w:color w:val="222222"/>
          <w:highlight w:val="white"/>
          <w:rtl w:val="0"/>
        </w:rPr>
        <w:t xml:space="preserve">Inicio página 11</w:t>
      </w:r>
    </w:p>
    <w:p w:rsidR="00000000" w:rsidDel="00000000" w:rsidP="00000000" w:rsidRDefault="00000000" w:rsidRPr="00000000" w14:paraId="00000061">
      <w:pPr>
        <w:spacing w:line="360" w:lineRule="auto"/>
        <w:jc w:val="both"/>
        <w:rPr>
          <w:color w:val="222222"/>
          <w:highlight w:val="white"/>
        </w:rPr>
      </w:pPr>
      <w:r w:rsidDel="00000000" w:rsidR="00000000" w:rsidRPr="00000000">
        <w:rPr>
          <w:color w:val="222222"/>
          <w:highlight w:val="white"/>
          <w:rtl w:val="0"/>
        </w:rPr>
        <w:t xml:space="preserve">Es ventajoso para las empresas coordinadoras que los clientes sustituyan con menor frecuencia fuera del mercado cuando las empresas ofrecen peores condiciones.</w:t>
      </w:r>
    </w:p>
    <w:p w:rsidR="00000000" w:rsidDel="00000000" w:rsidP="00000000" w:rsidRDefault="00000000" w:rsidRPr="00000000" w14:paraId="00000062">
      <w:pPr>
        <w:spacing w:line="360" w:lineRule="auto"/>
        <w:jc w:val="both"/>
        <w:rPr>
          <w:color w:val="222222"/>
          <w:highlight w:val="white"/>
        </w:rPr>
      </w:pPr>
      <w:r w:rsidDel="00000000" w:rsidR="00000000" w:rsidRPr="00000000">
        <w:rPr>
          <w:color w:val="222222"/>
          <w:highlight w:val="white"/>
          <w:rtl w:val="0"/>
        </w:rPr>
        <w:t xml:space="preserve">4. Las fusiones no deberían eliminar a un posible participante en un mercado concentrado.</w:t>
      </w:r>
    </w:p>
    <w:p w:rsidR="00000000" w:rsidDel="00000000" w:rsidP="00000000" w:rsidRDefault="00000000" w:rsidRPr="00000000" w14:paraId="00000063">
      <w:pPr>
        <w:spacing w:line="360" w:lineRule="auto"/>
        <w:jc w:val="both"/>
        <w:rPr>
          <w:color w:val="222222"/>
          <w:highlight w:val="white"/>
        </w:rPr>
      </w:pPr>
      <w:r w:rsidDel="00000000" w:rsidR="00000000" w:rsidRPr="00000000">
        <w:rPr>
          <w:color w:val="222222"/>
          <w:highlight w:val="white"/>
          <w:rtl w:val="0"/>
        </w:rPr>
        <w:t xml:space="preserve">Las fusiones pueden reducir sustancialmente la competencia al eliminar a un posible entrante. Por ejemplo, una fusión puede eliminar la posibilidad de que la entrada o expansión de una o ambas empresas hubiera dado lugar a una competencia nueva o mayor en el mercado en el futuro. Una fusión también puede eliminar la presión competitiva actual ejercida sobre otros participantes del mercado por la mera percepción de que una de las empresas podría ingresar. Ambos riesgos pueden estar presentes simultáneamente.</w:t>
      </w:r>
    </w:p>
    <w:p w:rsidR="00000000" w:rsidDel="00000000" w:rsidP="00000000" w:rsidRDefault="00000000" w:rsidRPr="00000000" w14:paraId="00000064">
      <w:pPr>
        <w:spacing w:line="360" w:lineRule="auto"/>
        <w:jc w:val="both"/>
        <w:rPr>
          <w:color w:val="222222"/>
          <w:highlight w:val="white"/>
        </w:rPr>
      </w:pPr>
      <w:r w:rsidDel="00000000" w:rsidR="00000000" w:rsidRPr="00000000">
        <w:rPr>
          <w:color w:val="222222"/>
          <w:highlight w:val="white"/>
          <w:rtl w:val="0"/>
        </w:rPr>
        <w:t xml:space="preserve">Una fusión que elimina a un participante potencial en un mercado concentrado puede disminuir sustancialmente la competencia o tender a crear un monopolio.*33 Cuanto más concentrado esté el mercado, mayor será la magnitud del daño a la competencia por cualquier entrada potencial perdida y mayor será la tendencia a crear un monopolio. En consecuencia, en el caso de fusiones en las que participan uno o más participantes potenciales, cuanto mayor sea la concentración del mercado, menor será la probabilidad de entrada que suscite preocupación.</w:t>
      </w:r>
    </w:p>
    <w:p w:rsidR="00000000" w:rsidDel="00000000" w:rsidP="00000000" w:rsidRDefault="00000000" w:rsidRPr="00000000" w14:paraId="00000065">
      <w:pPr>
        <w:spacing w:line="360" w:lineRule="auto"/>
        <w:jc w:val="both"/>
        <w:rPr>
          <w:color w:val="222222"/>
          <w:highlight w:val="white"/>
        </w:rPr>
      </w:pPr>
      <w:r w:rsidDel="00000000" w:rsidR="00000000" w:rsidRPr="00000000">
        <w:rPr>
          <w:color w:val="222222"/>
          <w:highlight w:val="white"/>
          <w:rtl w:val="0"/>
        </w:rPr>
        <w:t xml:space="preserve">A. Competencia potencial real: eliminación de entradas futuras razonablemente probables</w:t>
      </w:r>
    </w:p>
    <w:p w:rsidR="00000000" w:rsidDel="00000000" w:rsidP="00000000" w:rsidRDefault="00000000" w:rsidRPr="00000000" w14:paraId="00000066">
      <w:pPr>
        <w:spacing w:line="360" w:lineRule="auto"/>
        <w:jc w:val="both"/>
        <w:rPr>
          <w:color w:val="222222"/>
          <w:highlight w:val="white"/>
        </w:rPr>
      </w:pPr>
      <w:r w:rsidDel="00000000" w:rsidR="00000000" w:rsidRPr="00000000">
        <w:rPr>
          <w:color w:val="222222"/>
          <w:highlight w:val="white"/>
          <w:rtl w:val="0"/>
        </w:rPr>
        <w:t xml:space="preserve">Las leyes antimonopolio reflejan una preferencia por el crecimiento interno sobre la adquisición.*34 A diferencia del crecimiento interno, la fusión de un participante actual y potencial del mercado elimina la posibilidad de que el participante potencial hubiera ingresado por su cuenta.*35</w:t>
      </w:r>
    </w:p>
    <w:p w:rsidR="00000000" w:rsidDel="00000000" w:rsidP="00000000" w:rsidRDefault="00000000" w:rsidRPr="00000000" w14:paraId="00000067">
      <w:pPr>
        <w:spacing w:line="360" w:lineRule="auto"/>
        <w:jc w:val="both"/>
        <w:rPr>
          <w:color w:val="222222"/>
          <w:highlight w:val="white"/>
        </w:rPr>
      </w:pPr>
      <w:r w:rsidDel="00000000" w:rsidR="00000000" w:rsidRPr="00000000">
        <w:rPr>
          <w:color w:val="222222"/>
          <w:highlight w:val="white"/>
          <w:rtl w:val="0"/>
        </w:rPr>
        <w:t xml:space="preserve">Para determinar si una adquisición que elimina a un participante potencial en un mercado concentrado puede reducir sustancialmente la competencia,36 las Agencias examinan (1) si una o ambas empresas fusionadas tenían una probabilidad razonable de ingresar al mercado relevante de otra manera que no sea a través de una fusión anticompetitiva, y (2) si dicha entrada ofrecía “una probabilidad sustancial de producir en última instancia una desconcentración del mercado u otros efectos procompetitivos significativos”.*37</w:t>
      </w:r>
    </w:p>
    <w:p w:rsidR="00000000" w:rsidDel="00000000" w:rsidP="00000000" w:rsidRDefault="00000000" w:rsidRPr="00000000" w14:paraId="00000068">
      <w:pPr>
        <w:spacing w:line="360" w:lineRule="auto"/>
        <w:jc w:val="both"/>
        <w:rPr>
          <w:color w:val="222222"/>
          <w:highlight w:val="white"/>
        </w:rPr>
      </w:pPr>
      <w:r w:rsidDel="00000000" w:rsidR="00000000" w:rsidRPr="00000000">
        <w:rPr>
          <w:color w:val="222222"/>
          <w:highlight w:val="white"/>
          <w:rtl w:val="0"/>
        </w:rPr>
        <w:t xml:space="preserve">Probabilidad razonable de entrada alternativa. El punto de partida de las Agencias para evaluar una probabilidad razonable de entrada es la evidencia objetiva sobre los medios de entrada factibles disponibles para la empresa, incluidas sus capacidades e incentivos. La evidencia objetiva relevante puede incluir, por ejemplo, evidencia de que la empresa tiene suficiente tamaño y recursos para ingresar; evidencia de cualquier ventaja que haría que la empresa estuviera bien situada para ingresar; evidencia de que</w:t>
      </w:r>
    </w:p>
    <w:p w:rsidR="00000000" w:rsidDel="00000000" w:rsidP="00000000" w:rsidRDefault="00000000" w:rsidRPr="00000000" w14:paraId="00000069">
      <w:pPr>
        <w:spacing w:line="360" w:lineRule="auto"/>
        <w:jc w:val="both"/>
        <w:rPr>
          <w:color w:val="222222"/>
          <w:highlight w:val="white"/>
        </w:rPr>
      </w:pPr>
      <w:r w:rsidDel="00000000" w:rsidR="00000000" w:rsidRPr="00000000">
        <w:rPr>
          <w:color w:val="222222"/>
          <w:highlight w:val="white"/>
          <w:rtl w:val="0"/>
        </w:rPr>
        <w:t xml:space="preserve">Inicio página 12</w:t>
      </w:r>
    </w:p>
    <w:p w:rsidR="00000000" w:rsidDel="00000000" w:rsidP="00000000" w:rsidRDefault="00000000" w:rsidRPr="00000000" w14:paraId="0000006A">
      <w:pPr>
        <w:spacing w:line="360" w:lineRule="auto"/>
        <w:jc w:val="both"/>
        <w:rPr>
          <w:color w:val="222222"/>
          <w:highlight w:val="white"/>
        </w:rPr>
      </w:pPr>
      <w:r w:rsidDel="00000000" w:rsidR="00000000" w:rsidRPr="00000000">
        <w:rPr>
          <w:color w:val="222222"/>
          <w:highlight w:val="white"/>
          <w:rtl w:val="0"/>
        </w:rPr>
        <w:t xml:space="preserve">la empresa se ha expandido exitosamente a otros mercados en el pasado o ya participa en mercados adyacentes o relacionados; evidencia de que la empresa tiene un incentivo para ingresar; o evidencia de que los participantes de la industria reconocen a la empresa como un entrante potencial.*38 Este análisis no se limita a si la empresa podría ingresar con sus instalaciones de producción previas a la fusión, sino que también considera la capacidad general, que puede incluir la capacidad de expandirse o agregar sus capacidades por sí solo o en colaboración con alguien distinto del objetivo de la adquisición.</w:t>
      </w:r>
    </w:p>
    <w:p w:rsidR="00000000" w:rsidDel="00000000" w:rsidP="00000000" w:rsidRDefault="00000000" w:rsidRPr="00000000" w14:paraId="0000006B">
      <w:pPr>
        <w:spacing w:line="360" w:lineRule="auto"/>
        <w:jc w:val="both"/>
        <w:rPr>
          <w:color w:val="222222"/>
          <w:highlight w:val="white"/>
        </w:rPr>
      </w:pPr>
      <w:r w:rsidDel="00000000" w:rsidR="00000000" w:rsidRPr="00000000">
        <w:rPr>
          <w:color w:val="222222"/>
          <w:highlight w:val="white"/>
          <w:rtl w:val="0"/>
        </w:rPr>
        <w:t xml:space="preserve">La evidencia subjetiva de que la empresa consideró ingresar en ausencia de la fusión también puede indicar una probabilidad razonable de que la compañía habría ingresado sin la fusión.*39 La evidencia subjetiva de que la compañía consideró la entrada orgánica como una alternativa a la fusión generalmente sugiere que, en ausencia de la fusión, la entrada sería razonablemente probable.</w:t>
      </w:r>
    </w:p>
    <w:p w:rsidR="00000000" w:rsidDel="00000000" w:rsidP="00000000" w:rsidRDefault="00000000" w:rsidRPr="00000000" w14:paraId="0000006C">
      <w:pPr>
        <w:spacing w:line="360" w:lineRule="auto"/>
        <w:jc w:val="both"/>
        <w:rPr>
          <w:color w:val="222222"/>
          <w:highlight w:val="white"/>
        </w:rPr>
      </w:pPr>
      <w:r w:rsidDel="00000000" w:rsidR="00000000" w:rsidRPr="00000000">
        <w:rPr>
          <w:color w:val="222222"/>
          <w:highlight w:val="white"/>
          <w:rtl w:val="0"/>
        </w:rPr>
        <w:t xml:space="preserve">Probabilidad de desconcentración u otros efectos procompetitivos significativos. Una nueva entrada puede producir una variedad de efectos procompetitivos, incluida la desconcentración del mercado, mayor producción o inversión, salarios más altos o mejores condiciones de trabajo, mayor innovación, mayor calidad y precios más bajos.*40 Si la empresa que se fusiona tuviera una probabilidad razonable de ingresar al mercado concentrado mercado relevante, las Agencias generalmente presumirán que la desconcentración resultante y otros beneficios que habrían resultado de su entrada serían competitivamente significativos, a menos que exista evidencia directa sustancial de que el efecto competitivo sería de minimis*41 Para complementar la presunción de que una nueva entrada produce efectos procompetitivos, las Agencias considerarán proyecciones de la importancia competitiva del entrante potencial, tales como participación de mercado, su estrategia comercial, la respuesta anticipada de los competidores o las preferencias o intereses de los clientes.</w:t>
      </w:r>
    </w:p>
    <w:p w:rsidR="00000000" w:rsidDel="00000000" w:rsidP="00000000" w:rsidRDefault="00000000" w:rsidRPr="00000000" w14:paraId="0000006D">
      <w:pPr>
        <w:spacing w:line="360" w:lineRule="auto"/>
        <w:jc w:val="both"/>
        <w:rPr>
          <w:color w:val="222222"/>
          <w:highlight w:val="white"/>
        </w:rPr>
      </w:pPr>
      <w:r w:rsidDel="00000000" w:rsidR="00000000" w:rsidRPr="00000000">
        <w:rPr>
          <w:color w:val="222222"/>
          <w:highlight w:val="white"/>
          <w:rtl w:val="0"/>
        </w:rPr>
        <w:t xml:space="preserve">Una fusión de dos participantes potenciales también puede dar lugar a una disminución sustancial de la competencia. La fusión no tiene por qué involucrar a una empresa que tenga un producto comercializado en el mercado o una presencia existente en el mismo mercado geográfico. Las Agencias analizan de manera similar las fusiones entre dos entrantes potenciales y aquellas que involucran a un participante actual del mercado y un entrante potencial.</w:t>
      </w:r>
    </w:p>
    <w:p w:rsidR="00000000" w:rsidDel="00000000" w:rsidP="00000000" w:rsidRDefault="00000000" w:rsidRPr="00000000" w14:paraId="0000006E">
      <w:pPr>
        <w:spacing w:line="360" w:lineRule="auto"/>
        <w:jc w:val="both"/>
        <w:rPr>
          <w:color w:val="222222"/>
          <w:highlight w:val="white"/>
        </w:rPr>
      </w:pPr>
      <w:r w:rsidDel="00000000" w:rsidR="00000000" w:rsidRPr="00000000">
        <w:rPr>
          <w:color w:val="222222"/>
          <w:highlight w:val="white"/>
          <w:rtl w:val="0"/>
        </w:rPr>
        <w:t xml:space="preserve">B. Competencia potencial percibida: disminución de la presión competitiva actual</w:t>
      </w:r>
    </w:p>
    <w:p w:rsidR="00000000" w:rsidDel="00000000" w:rsidP="00000000" w:rsidRDefault="00000000" w:rsidRPr="00000000" w14:paraId="0000006F">
      <w:pPr>
        <w:spacing w:line="360" w:lineRule="auto"/>
        <w:jc w:val="both"/>
        <w:rPr>
          <w:color w:val="222222"/>
          <w:highlight w:val="white"/>
        </w:rPr>
      </w:pPr>
      <w:r w:rsidDel="00000000" w:rsidR="00000000" w:rsidRPr="00000000">
        <w:rPr>
          <w:color w:val="222222"/>
          <w:highlight w:val="white"/>
          <w:rtl w:val="0"/>
        </w:rPr>
        <w:t xml:space="preserve">Un entrante potencial percibido puede estimular la competencia entre los ya establecidos. Esa presión puede impulsar a los participantes actuales del mercado a realizar inversiones, ampliar la producción, aumentar los salarios, aumentar la calidad de los productos, bajar los precios de los productos o tomar otras medidas procompetitivas. La adquisición de una empresa que los participantes del mercado perciben como un entrante potencial puede reducir sustancialmente la competencia al eliminar o aliviar la presión competitiva.*42</w:t>
      </w:r>
    </w:p>
    <w:p w:rsidR="00000000" w:rsidDel="00000000" w:rsidP="00000000" w:rsidRDefault="00000000" w:rsidRPr="00000000" w14:paraId="00000070">
      <w:pPr>
        <w:spacing w:line="360" w:lineRule="auto"/>
        <w:jc w:val="both"/>
        <w:rPr>
          <w:color w:val="222222"/>
          <w:highlight w:val="white"/>
        </w:rPr>
      </w:pPr>
      <w:r w:rsidDel="00000000" w:rsidR="00000000" w:rsidRPr="00000000">
        <w:rPr>
          <w:color w:val="222222"/>
          <w:highlight w:val="white"/>
          <w:rtl w:val="0"/>
        </w:rPr>
        <w:t xml:space="preserve">Inicio página 13</w:t>
      </w:r>
    </w:p>
    <w:p w:rsidR="00000000" w:rsidDel="00000000" w:rsidP="00000000" w:rsidRDefault="00000000" w:rsidRPr="00000000" w14:paraId="00000071">
      <w:pPr>
        <w:spacing w:line="360" w:lineRule="auto"/>
        <w:jc w:val="both"/>
        <w:rPr>
          <w:color w:val="222222"/>
          <w:highlight w:val="white"/>
        </w:rPr>
      </w:pPr>
      <w:r w:rsidDel="00000000" w:rsidR="00000000" w:rsidRPr="00000000">
        <w:rPr>
          <w:color w:val="222222"/>
          <w:highlight w:val="white"/>
          <w:rtl w:val="0"/>
        </w:rPr>
        <w:t xml:space="preserve">Para evaluar si la adquisición de un entrante potencial percibido puede disminuir sustancialmente la competencia, las Agencias consideran si un participante actual del mercado podría considerar razonablemente a una de las empresas fusionadas como un entrante potencial y si ese entrante potencial tiene una influencia probable en la competencia existente.</w:t>
      </w:r>
    </w:p>
    <w:p w:rsidR="00000000" w:rsidDel="00000000" w:rsidP="00000000" w:rsidRDefault="00000000" w:rsidRPr="00000000" w14:paraId="00000072">
      <w:pPr>
        <w:spacing w:line="360" w:lineRule="auto"/>
        <w:jc w:val="both"/>
        <w:rPr>
          <w:color w:val="222222"/>
          <w:highlight w:val="white"/>
        </w:rPr>
      </w:pPr>
      <w:r w:rsidDel="00000000" w:rsidR="00000000" w:rsidRPr="00000000">
        <w:rPr>
          <w:color w:val="222222"/>
          <w:highlight w:val="white"/>
          <w:rtl w:val="0"/>
        </w:rPr>
        <w:t xml:space="preserve">Un participante del mercado podría razonablemente considerar a una empresa como un participante potencial. El punto de partida de este análisis es la evidencia sobre la capacidad de la empresa para ingresar o aplicar presión competitiva.*43 La evidencia objetiva es altamente probatoria e incluye evidencia de medios factibles de entrada o comunicaciones por parte de la empresa que indiquen planes para expandir o reasignar recursos de una manera que podría aumentar la competencia en el mercado relevante. La evidencia objetiva puede ser suficiente para determinar que la empresa es un entrante potencial; no necesita ir acompañado de ninguna evidencia subjetiva de las percepciones internas de los participantes actuales del mercado o evidencia directa de reacciones estratégicas ante el entrante potencial. Si dicha evidencia está disponible, puede influir a favor de concluir que un participante actual en el mercado podría considerar razonablemente a la empresa como un entrante potencial.</w:t>
      </w:r>
    </w:p>
    <w:p w:rsidR="00000000" w:rsidDel="00000000" w:rsidP="00000000" w:rsidRDefault="00000000" w:rsidRPr="00000000" w14:paraId="00000073">
      <w:pPr>
        <w:spacing w:line="360" w:lineRule="auto"/>
        <w:jc w:val="both"/>
        <w:rPr>
          <w:color w:val="222222"/>
          <w:highlight w:val="white"/>
        </w:rPr>
      </w:pPr>
      <w:r w:rsidDel="00000000" w:rsidR="00000000" w:rsidRPr="00000000">
        <w:rPr>
          <w:color w:val="222222"/>
          <w:highlight w:val="white"/>
          <w:rtl w:val="0"/>
        </w:rPr>
        <w:t xml:space="preserve">Probable influencia sobre los rivales existentes. La evidencia objetiva que establece que un participante actual del mercado podría considerar razonablemente que una de las empresas fusionadas es un entrante potencial también puede establecer que la empresa tiene una influencia probable sobre los participantes del mercado existentes.*44 La evidencia subjetiva que indica que los participantes actuales del mercado, incluidos, por ejemplo, los clientes , los proveedores o distribuidores perciben internamente que la empresa que se fusiona es un entrante potencial también puede establecer una posible influencia. La evidencia directa de que la presencia o el comportamiento de la empresa ha afectado o está afectando las decisiones estratégicas de los participantes actuales del mercado también puede establecer una influencia probable.*45 La evidencia circunstancial de que la presencia o el comportamiento de la empresa tuvo un efecto directo sobre las reacciones competitivas de las empresas en el mercado puede también muestran una posible influencia.*46</w:t>
      </w:r>
    </w:p>
    <w:p w:rsidR="00000000" w:rsidDel="00000000" w:rsidP="00000000" w:rsidRDefault="00000000" w:rsidRPr="00000000" w14:paraId="00000074">
      <w:pPr>
        <w:spacing w:line="360" w:lineRule="auto"/>
        <w:jc w:val="both"/>
        <w:rPr>
          <w:color w:val="222222"/>
          <w:highlight w:val="white"/>
        </w:rPr>
      </w:pPr>
      <w:r w:rsidDel="00000000" w:rsidR="00000000" w:rsidRPr="00000000">
        <w:rPr>
          <w:color w:val="222222"/>
          <w:highlight w:val="white"/>
          <w:rtl w:val="0"/>
        </w:rPr>
        <w:t xml:space="preserve">La existencia de un entrante potencial percibido no anula ni contrarresta el daño causado por fusiones entre empresas que ya participan en el mercado relevante. El impacto de los entrantes potenciales percibidos es secundario a la competencia que ofrecen los participantes actuales del mercado. En consecuencia, al evaluar una fusión de competidores actuales, las Agencias evaluarán si es probable que las empresas ingresen al mercado para reemplazar la competencia perdida utilizando los estándares discutidos en la Sección IV.2. Los mercados concentrados a menudo carecen de una competencia sólida, por lo que la pérdida incluso de una fuente secundaria de competencia, como los entrantes potenciales percibidos, puede disminuir sustancialmente la competencia.</w:t>
      </w:r>
    </w:p>
    <w:p w:rsidR="00000000" w:rsidDel="00000000" w:rsidP="00000000" w:rsidRDefault="00000000" w:rsidRPr="00000000" w14:paraId="00000075">
      <w:pPr>
        <w:spacing w:line="360" w:lineRule="auto"/>
        <w:jc w:val="both"/>
        <w:rPr>
          <w:color w:val="222222"/>
          <w:highlight w:val="white"/>
        </w:rPr>
      </w:pPr>
      <w:r w:rsidDel="00000000" w:rsidR="00000000" w:rsidRPr="00000000">
        <w:rPr>
          <w:color w:val="222222"/>
          <w:highlight w:val="white"/>
          <w:rtl w:val="0"/>
        </w:rPr>
        <w:t xml:space="preserve">Inicio página 14</w:t>
      </w:r>
    </w:p>
    <w:p w:rsidR="00000000" w:rsidDel="00000000" w:rsidP="00000000" w:rsidRDefault="00000000" w:rsidRPr="00000000" w14:paraId="00000076">
      <w:pPr>
        <w:spacing w:line="360" w:lineRule="auto"/>
        <w:jc w:val="both"/>
        <w:rPr>
          <w:color w:val="222222"/>
          <w:highlight w:val="white"/>
        </w:rPr>
      </w:pPr>
      <w:r w:rsidDel="00000000" w:rsidR="00000000" w:rsidRPr="00000000">
        <w:rPr>
          <w:color w:val="222222"/>
          <w:highlight w:val="white"/>
          <w:rtl w:val="0"/>
        </w:rPr>
        <w:t xml:space="preserve">5. Las fusiones no deberían reducir sustancialmente la competencia mediante la creación de una empresa que controle productos o servicios que sus rivales puedan utilizar para competir.</w:t>
      </w:r>
    </w:p>
    <w:p w:rsidR="00000000" w:rsidDel="00000000" w:rsidP="00000000" w:rsidRDefault="00000000" w:rsidRPr="00000000" w14:paraId="00000077">
      <w:pPr>
        <w:spacing w:line="360" w:lineRule="auto"/>
        <w:jc w:val="both"/>
        <w:rPr>
          <w:color w:val="222222"/>
          <w:highlight w:val="white"/>
        </w:rPr>
      </w:pPr>
      <w:r w:rsidDel="00000000" w:rsidR="00000000" w:rsidRPr="00000000">
        <w:rPr>
          <w:color w:val="222222"/>
          <w:highlight w:val="white"/>
          <w:rtl w:val="0"/>
        </w:rPr>
        <w:t xml:space="preserve">Las Agencias evalúan si una fusión puede reducir sustancialmente la competencia al darle a una empresa control sobre el acceso a un producto, servicio o clientes que sus rivales utilizan para competir. El control del acceso de los rivales a estas herramientas de competencia puede permitir a la empresa fusionada debilitar a sus rivales y, al hacerlo, disminuir la competencia o tender a crear un monopolio.</w:t>
      </w:r>
    </w:p>
    <w:p w:rsidR="00000000" w:rsidDel="00000000" w:rsidP="00000000" w:rsidRDefault="00000000" w:rsidRPr="00000000" w14:paraId="00000078">
      <w:pPr>
        <w:spacing w:line="360" w:lineRule="auto"/>
        <w:jc w:val="both"/>
        <w:rPr>
          <w:color w:val="222222"/>
          <w:highlight w:val="white"/>
        </w:rPr>
      </w:pPr>
      <w:r w:rsidDel="00000000" w:rsidR="00000000" w:rsidRPr="00000000">
        <w:rPr>
          <w:color w:val="222222"/>
          <w:highlight w:val="white"/>
          <w:rtl w:val="0"/>
        </w:rPr>
        <w:t xml:space="preserve">Esta preocupación se aplica a cualquier transacción que implique acceso a productos, servicios o clientes que los rivales utilizan para competir, involucren o no relaciones verticales tradicionales de suministro y distribución. El análisis de las Agencias se centra en el riesgo de que la empresa fusionada tenga la capacidad y el incentivo para dificultar la competencia de sus rivales y, por tanto, perjudicar la competencia.*47</w:t>
      </w:r>
    </w:p>
    <w:p w:rsidR="00000000" w:rsidDel="00000000" w:rsidP="00000000" w:rsidRDefault="00000000" w:rsidRPr="00000000" w14:paraId="00000079">
      <w:pPr>
        <w:spacing w:line="360" w:lineRule="auto"/>
        <w:jc w:val="both"/>
        <w:rPr>
          <w:color w:val="222222"/>
          <w:highlight w:val="white"/>
        </w:rPr>
      </w:pPr>
      <w:r w:rsidDel="00000000" w:rsidR="00000000" w:rsidRPr="00000000">
        <w:rPr>
          <w:color w:val="222222"/>
          <w:highlight w:val="white"/>
          <w:rtl w:val="0"/>
        </w:rPr>
        <w:t xml:space="preserve">El mercado relevante para este análisis puede ser el mercado en el que la empresa fusionada compite con sus rivales, mientras que el producto, servicio o cliente que los rivales utilizan para competir en ese mercado se denomina “producto relacionado” o “servicio relacionado”. Muchos tipos de productos o servicios relacionados pueden implicar esta preocupación, tales como: (1) productos relacionados que los rivales pueden utilizar, ahora o en el futuro, como insumos; (2) productos relacionados que proporcionan servicios de distribución a rivales o influyen de otro modo en las decisiones de compra de los consumidores, o en las compras propias de productos intermedios de la empresa; (3) productos relacionados que brindan a la empresa fusionada acceso a información competitivamente sensible sobre sus rivales; o (4) productos relacionados que son complementarios y, por lo tanto, aumentan el valor de los productos de los rivales. Incluso si los rivales no utilizan actualmente el producto o servicio relacionado, podría ser significativamente competitivo porque, por ejemplo, su disponibilidad permite a los rivales obtener mejores condiciones de otros proveedores en las negociaciones.</w:t>
      </w:r>
    </w:p>
    <w:p w:rsidR="00000000" w:rsidDel="00000000" w:rsidP="00000000" w:rsidRDefault="00000000" w:rsidRPr="00000000" w14:paraId="0000007A">
      <w:pPr>
        <w:spacing w:line="360" w:lineRule="auto"/>
        <w:jc w:val="both"/>
        <w:rPr>
          <w:color w:val="222222"/>
          <w:highlight w:val="white"/>
        </w:rPr>
      </w:pPr>
      <w:r w:rsidDel="00000000" w:rsidR="00000000" w:rsidRPr="00000000">
        <w:rPr>
          <w:color w:val="222222"/>
          <w:highlight w:val="white"/>
          <w:rtl w:val="0"/>
        </w:rPr>
        <w:t xml:space="preserve">A. La capacidad y el incentivo para debilitar o excluir a los rivales</w:t>
      </w:r>
    </w:p>
    <w:p w:rsidR="00000000" w:rsidDel="00000000" w:rsidP="00000000" w:rsidRDefault="00000000" w:rsidRPr="00000000" w14:paraId="0000007B">
      <w:pPr>
        <w:spacing w:line="360" w:lineRule="auto"/>
        <w:jc w:val="both"/>
        <w:rPr>
          <w:color w:val="222222"/>
          <w:highlight w:val="white"/>
        </w:rPr>
      </w:pPr>
      <w:r w:rsidDel="00000000" w:rsidR="00000000" w:rsidRPr="00000000">
        <w:rPr>
          <w:color w:val="222222"/>
          <w:highlight w:val="white"/>
          <w:rtl w:val="0"/>
        </w:rPr>
        <w:t xml:space="preserve">Una fusión que involucra productos, servicios o clientes que los rivales utilizan para competir puede disminuir sustancialmente la competencia cuando da como resultado una empresa con la capacidad y el incentivo para dificultar que sus rivales compitan en el mercado relevante, o para eliminarlos o disuadirlos. la entrada de nuevas empresas al mercado relevante. Debido a que la empresa fusionada puede tener la capacidad de controlar el acceso al producto relacionado de muchas maneras diferentes, las Agencias no buscan especificar las acciones precisas que la empresa fusionada tomaría para debilitar a sus rivales.</w:t>
      </w:r>
    </w:p>
    <w:p w:rsidR="00000000" w:rsidDel="00000000" w:rsidP="00000000" w:rsidRDefault="00000000" w:rsidRPr="00000000" w14:paraId="0000007C">
      <w:pPr>
        <w:spacing w:line="360" w:lineRule="auto"/>
        <w:jc w:val="both"/>
        <w:rPr>
          <w:color w:val="222222"/>
          <w:highlight w:val="white"/>
        </w:rPr>
      </w:pPr>
      <w:r w:rsidDel="00000000" w:rsidR="00000000" w:rsidRPr="00000000">
        <w:rPr>
          <w:color w:val="222222"/>
          <w:highlight w:val="white"/>
          <w:rtl w:val="0"/>
        </w:rPr>
        <w:t xml:space="preserve">(1) Habilidad</w:t>
      </w:r>
    </w:p>
    <w:p w:rsidR="00000000" w:rsidDel="00000000" w:rsidP="00000000" w:rsidRDefault="00000000" w:rsidRPr="00000000" w14:paraId="0000007D">
      <w:pPr>
        <w:spacing w:line="360" w:lineRule="auto"/>
        <w:jc w:val="both"/>
        <w:rPr>
          <w:color w:val="222222"/>
          <w:highlight w:val="white"/>
        </w:rPr>
      </w:pPr>
      <w:r w:rsidDel="00000000" w:rsidR="00000000" w:rsidRPr="00000000">
        <w:rPr>
          <w:color w:val="222222"/>
          <w:highlight w:val="white"/>
          <w:rtl w:val="0"/>
        </w:rPr>
        <w:t xml:space="preserve">Las Agencias evalúan la capacidad de la empresa fusionada para dificultar la competencia de sus rivales examinando (1) el grado en que la empresa puede limitar o degradar el acceso de sus rivales a un producto, servicio o clientes relacionados, y (2) la Grado en el que el producto, servicio o cliente relacionado afecta la competitividad de esos rivales.</w:t>
      </w:r>
    </w:p>
    <w:p w:rsidR="00000000" w:rsidDel="00000000" w:rsidP="00000000" w:rsidRDefault="00000000" w:rsidRPr="00000000" w14:paraId="0000007E">
      <w:pPr>
        <w:spacing w:line="360" w:lineRule="auto"/>
        <w:jc w:val="both"/>
        <w:rPr>
          <w:color w:val="222222"/>
          <w:highlight w:val="white"/>
        </w:rPr>
      </w:pPr>
      <w:r w:rsidDel="00000000" w:rsidR="00000000" w:rsidRPr="00000000">
        <w:rPr>
          <w:color w:val="222222"/>
          <w:highlight w:val="white"/>
          <w:rtl w:val="0"/>
        </w:rPr>
        <w:t xml:space="preserve">Inicio página 15</w:t>
      </w:r>
    </w:p>
    <w:p w:rsidR="00000000" w:rsidDel="00000000" w:rsidP="00000000" w:rsidRDefault="00000000" w:rsidRPr="00000000" w14:paraId="0000007F">
      <w:pPr>
        <w:spacing w:line="360" w:lineRule="auto"/>
        <w:jc w:val="both"/>
        <w:rPr>
          <w:color w:val="222222"/>
          <w:highlight w:val="white"/>
        </w:rPr>
      </w:pPr>
      <w:r w:rsidDel="00000000" w:rsidR="00000000" w:rsidRPr="00000000">
        <w:rPr>
          <w:color w:val="222222"/>
          <w:highlight w:val="white"/>
          <w:rtl w:val="0"/>
        </w:rPr>
        <w:t xml:space="preserve">Capacidad para limitar el acceso. Las Agencias evalúan si la empresa fusionada puede limitar o degradar el acceso de sus rivales al producto o servicio relacionado analizando la disponibilidad de sustitutos. En particular, la empresa fusionada podría negar el acceso a sus rivales por completo o podría empeorar las condiciones en las que los rivales pueden acceder al producto o servicio relacionado. Por ejemplo, la empresa fusionada podría aumentar el precio, reducir la calidad, proporcionar un acceso menos confiable o retrasar el acceso a mejoras del producto o a información relevante para hacer un uso eficiente del producto.</w:t>
      </w:r>
    </w:p>
    <w:p w:rsidR="00000000" w:rsidDel="00000000" w:rsidP="00000000" w:rsidRDefault="00000000" w:rsidRPr="00000000" w14:paraId="00000080">
      <w:pPr>
        <w:spacing w:line="360" w:lineRule="auto"/>
        <w:jc w:val="both"/>
        <w:rPr>
          <w:color w:val="222222"/>
          <w:highlight w:val="white"/>
        </w:rPr>
      </w:pPr>
      <w:r w:rsidDel="00000000" w:rsidR="00000000" w:rsidRPr="00000000">
        <w:rPr>
          <w:color w:val="222222"/>
          <w:highlight w:val="white"/>
          <w:rtl w:val="0"/>
        </w:rPr>
        <w:t xml:space="preserve">Importancia competitiva de limitar el acceso de los rivales. Las Agencias consideran el impacto potencial en la competencia al limitar o degradar el acceso de los rivales al producto o servicio relacionado. Esta investigación se centra en si hacerlo haría más difícil para los rivales competir o levantaría barreras a la entrada de nuevas empresas y a la expansión de las existentes. Por ejemplo, sería más difícil para los rivales competir si el aumento de sus costos como resultado de la fusión los llevara a cobrar precios más altos, hiciera que sus productos fueran menos atractivos para los clientes o significara que esos productos estuvieran menos disponibles para los clientes. La capacidad de la empresa fusionada para excluir o debilitar a sus rivales es mayor cuanto peores sean las opciones alternativas de los rivales al producto o servicio relacionado de la empresa fusionada.</w:t>
      </w:r>
    </w:p>
    <w:p w:rsidR="00000000" w:rsidDel="00000000" w:rsidP="00000000" w:rsidRDefault="00000000" w:rsidRPr="00000000" w14:paraId="00000081">
      <w:pPr>
        <w:spacing w:line="360" w:lineRule="auto"/>
        <w:jc w:val="both"/>
        <w:rPr>
          <w:color w:val="222222"/>
          <w:highlight w:val="white"/>
        </w:rPr>
      </w:pPr>
      <w:r w:rsidDel="00000000" w:rsidR="00000000" w:rsidRPr="00000000">
        <w:rPr>
          <w:color w:val="222222"/>
          <w:highlight w:val="white"/>
          <w:rtl w:val="0"/>
        </w:rPr>
        <w:t xml:space="preserve">(2) Incentivo</w:t>
      </w:r>
    </w:p>
    <w:p w:rsidR="00000000" w:rsidDel="00000000" w:rsidP="00000000" w:rsidRDefault="00000000" w:rsidRPr="00000000" w14:paraId="00000082">
      <w:pPr>
        <w:spacing w:line="360" w:lineRule="auto"/>
        <w:jc w:val="both"/>
        <w:rPr>
          <w:color w:val="222222"/>
          <w:highlight w:val="white"/>
        </w:rPr>
      </w:pPr>
      <w:r w:rsidDel="00000000" w:rsidR="00000000" w:rsidRPr="00000000">
        <w:rPr>
          <w:color w:val="222222"/>
          <w:highlight w:val="white"/>
          <w:rtl w:val="0"/>
        </w:rPr>
        <w:t xml:space="preserve">Las Agencias evalúan si la empresa fusionada puede tener un incentivo para empeorar las condiciones en las que los rivales pueden acceder al producto relacionado y así beneficiarse de una competencia sustancialmente menor. Este incentivo disuade a la empresa fusionada de brindar a esos rivales acceso al producto o servicio relacionado. La evidencia sobre los incentivos de la empresa fusionada puede incluir evidencia sobre la estructura, la historia y el futuro probable del mercado.</w:t>
      </w:r>
    </w:p>
    <w:p w:rsidR="00000000" w:rsidDel="00000000" w:rsidP="00000000" w:rsidRDefault="00000000" w:rsidRPr="00000000" w14:paraId="00000083">
      <w:pPr>
        <w:spacing w:line="360" w:lineRule="auto"/>
        <w:jc w:val="both"/>
        <w:rPr>
          <w:color w:val="222222"/>
          <w:highlight w:val="white"/>
        </w:rPr>
      </w:pPr>
      <w:r w:rsidDel="00000000" w:rsidR="00000000" w:rsidRPr="00000000">
        <w:rPr>
          <w:color w:val="222222"/>
          <w:highlight w:val="white"/>
          <w:rtl w:val="0"/>
        </w:rPr>
        <w:t xml:space="preserve">Competencia con rivales que utilizan el producto o servicio relacionado. Los incentivos de la empresa fusionada para empeorar las condiciones del producto relacionado dependen del grado en que compita con rivales que utilizan el producto relacionado. La empresa fusionada puede beneficiarse de mayores ventas o precios en el mercado relevante si empeoran las condiciones para sus rivales. Este beneficio puede hacer que sea rentable empeorar las condiciones ofrecidas a los rivales por el producto relacionado y, por lo tanto, reducir sustancialmente la competencia, aunque no hubiera sido rentable para la empresa que controlaba el producto relacionado antes de la fusión.</w:t>
      </w:r>
    </w:p>
    <w:p w:rsidR="00000000" w:rsidDel="00000000" w:rsidP="00000000" w:rsidRDefault="00000000" w:rsidRPr="00000000" w14:paraId="00000084">
      <w:pPr>
        <w:spacing w:line="360" w:lineRule="auto"/>
        <w:jc w:val="both"/>
        <w:rPr>
          <w:color w:val="222222"/>
          <w:highlight w:val="white"/>
        </w:rPr>
      </w:pPr>
      <w:r w:rsidDel="00000000" w:rsidR="00000000" w:rsidRPr="00000000">
        <w:rPr>
          <w:color w:val="222222"/>
          <w:highlight w:val="white"/>
          <w:rtl w:val="0"/>
        </w:rPr>
        <w:t xml:space="preserve">Las Agencias podrán evaluar el alcance de la competencia con rivales utilizando métodos análogos a los utilizados para evaluar el alcance de la competencia entre las empresas que se fusionan (véanse la Directriz 2 y el Apéndice 2). Por ejemplo, las Agencias pueden considerar pruebas sobre el impacto en la empresa fusionada de las acciones competitivas de los rivales que utilizan el producto relacionado.</w:t>
      </w:r>
    </w:p>
    <w:p w:rsidR="00000000" w:rsidDel="00000000" w:rsidP="00000000" w:rsidRDefault="00000000" w:rsidRPr="00000000" w14:paraId="00000085">
      <w:pPr>
        <w:spacing w:line="360" w:lineRule="auto"/>
        <w:jc w:val="both"/>
        <w:rPr>
          <w:color w:val="222222"/>
          <w:highlight w:val="white"/>
        </w:rPr>
      </w:pPr>
      <w:r w:rsidDel="00000000" w:rsidR="00000000" w:rsidRPr="00000000">
        <w:rPr>
          <w:color w:val="222222"/>
          <w:highlight w:val="white"/>
          <w:rtl w:val="0"/>
        </w:rPr>
        <w:t xml:space="preserve">Transacciones Previas o Acciones Previas. Si las empresas utilizaron adquisiciones anteriores o participaron en acciones anteriores para limitar el acceso de sus rivales al producto relacionado, u otros productos que sus rivales utilizan para competir, eso sugiere que la empresa fusionada tiene un incentivo para disminuir la competencia en el mercado relevante. Sin embargo, la falta de acción pasada no indica necesariamente una falta de incentivo en la transacción presente.</w:t>
      </w:r>
    </w:p>
    <w:p w:rsidR="00000000" w:rsidDel="00000000" w:rsidP="00000000" w:rsidRDefault="00000000" w:rsidRPr="00000000" w14:paraId="00000086">
      <w:pPr>
        <w:spacing w:line="360" w:lineRule="auto"/>
        <w:jc w:val="both"/>
        <w:rPr>
          <w:color w:val="222222"/>
          <w:highlight w:val="white"/>
        </w:rPr>
      </w:pPr>
      <w:r w:rsidDel="00000000" w:rsidR="00000000" w:rsidRPr="00000000">
        <w:rPr>
          <w:color w:val="222222"/>
          <w:highlight w:val="white"/>
          <w:rtl w:val="0"/>
        </w:rPr>
        <w:t xml:space="preserve">Documentos Internos. Los documentos de planificación empresarial y análisis de fusiones preparados por las empresas fusionadas pueden identificar casos en los que las propias empresas creen que tienen incentivos.</w:t>
      </w:r>
    </w:p>
    <w:p w:rsidR="00000000" w:rsidDel="00000000" w:rsidP="00000000" w:rsidRDefault="00000000" w:rsidRPr="00000000" w14:paraId="00000087">
      <w:pPr>
        <w:spacing w:line="360" w:lineRule="auto"/>
        <w:jc w:val="both"/>
        <w:rPr>
          <w:color w:val="222222"/>
          <w:highlight w:val="white"/>
        </w:rPr>
      </w:pPr>
      <w:r w:rsidDel="00000000" w:rsidR="00000000" w:rsidRPr="00000000">
        <w:rPr>
          <w:color w:val="222222"/>
          <w:highlight w:val="white"/>
          <w:rtl w:val="0"/>
        </w:rPr>
        <w:t xml:space="preserve">Inicio página 16</w:t>
      </w:r>
    </w:p>
    <w:p w:rsidR="00000000" w:rsidDel="00000000" w:rsidP="00000000" w:rsidRDefault="00000000" w:rsidRPr="00000000" w14:paraId="00000088">
      <w:pPr>
        <w:spacing w:line="360" w:lineRule="auto"/>
        <w:jc w:val="both"/>
        <w:rPr>
          <w:color w:val="222222"/>
          <w:highlight w:val="white"/>
        </w:rPr>
      </w:pPr>
      <w:r w:rsidDel="00000000" w:rsidR="00000000" w:rsidRPr="00000000">
        <w:rPr>
          <w:color w:val="222222"/>
          <w:highlight w:val="white"/>
          <w:rtl w:val="0"/>
        </w:rPr>
        <w:t xml:space="preserve">aumentar los costos de los rivales. Dichos documentos, cuando están disponibles, son altamente probatorios de que existen incentivos para aumentar los costos de los rivales. La falta de dichos documentos, sin embargo, es menos informativa.</w:t>
      </w:r>
    </w:p>
    <w:p w:rsidR="00000000" w:rsidDel="00000000" w:rsidP="00000000" w:rsidRDefault="00000000" w:rsidRPr="00000000" w14:paraId="00000089">
      <w:pPr>
        <w:spacing w:line="360" w:lineRule="auto"/>
        <w:jc w:val="both"/>
        <w:rPr>
          <w:color w:val="222222"/>
          <w:highlight w:val="white"/>
        </w:rPr>
      </w:pPr>
      <w:r w:rsidDel="00000000" w:rsidR="00000000" w:rsidRPr="00000000">
        <w:rPr>
          <w:color w:val="222222"/>
          <w:highlight w:val="white"/>
          <w:rtl w:val="0"/>
        </w:rPr>
        <w:t xml:space="preserve">Si la empresa fusionada tiene la capacidad y el incentivo para dificultar que sus rivales compitan en el mercado relevante, hay muchas maneras en que podría actuar en función de esos incentivos. Las partes que se fusionan pueden presentar pruebas de que no hay formas plausibles de empeorar de manera rentable las condiciones del producto relacionado y, por lo tanto, dificultar la competencia de los rivales, o que la empresa fusionada será más competitiva como resultado de la fusión. . Al evaluar si esta evidencia de refutación es suficiente para concluir que la fusión no amenaza una disminución sustancial de la competencia, las Agencias darán poca importancia a las afirmaciones que no estén respaldadas por un análisis objetivo, incluidas, por ejemplo, afirmaciones especulativas sobre daños a la reputación. Además, es poco probable que las Agencias acrediten reclamos o compromisos para proteger o evitar dañar a sus rivales que no se alineen con los incentivos de la empresa.*48 La evaluación de las Agencias será consistente con el principio de que las empresas actúan para maximizar sus ganancias y valoración generales. en lugar de las ganancias de cualquier unidad de negocios en particular.*49 Una fusión puede disminuir sustancialmente la competencia o tender a crear un monopolio independientemente de la intención declarada de las empresas fusionadas o de sus ejecutivos.*50 (Ver Sección IV.)</w:t>
      </w:r>
    </w:p>
    <w:p w:rsidR="00000000" w:rsidDel="00000000" w:rsidP="00000000" w:rsidRDefault="00000000" w:rsidRPr="00000000" w14:paraId="0000008A">
      <w:pPr>
        <w:spacing w:line="360" w:lineRule="auto"/>
        <w:jc w:val="both"/>
        <w:rPr>
          <w:color w:val="222222"/>
          <w:highlight w:val="white"/>
        </w:rPr>
      </w:pPr>
      <w:r w:rsidDel="00000000" w:rsidR="00000000" w:rsidRPr="00000000">
        <w:rPr>
          <w:color w:val="222222"/>
          <w:highlight w:val="white"/>
          <w:rtl w:val="0"/>
        </w:rPr>
        <w:t xml:space="preserve">B. Fusiones que implican acceso a información competitivamente sensible de sus rivales</w:t>
      </w:r>
    </w:p>
    <w:p w:rsidR="00000000" w:rsidDel="00000000" w:rsidP="00000000" w:rsidRDefault="00000000" w:rsidRPr="00000000" w14:paraId="0000008B">
      <w:pPr>
        <w:spacing w:line="360" w:lineRule="auto"/>
        <w:jc w:val="both"/>
        <w:rPr>
          <w:color w:val="222222"/>
          <w:highlight w:val="white"/>
        </w:rPr>
      </w:pPr>
      <w:r w:rsidDel="00000000" w:rsidR="00000000" w:rsidRPr="00000000">
        <w:rPr>
          <w:color w:val="222222"/>
          <w:highlight w:val="white"/>
          <w:rtl w:val="0"/>
        </w:rPr>
        <w:t xml:space="preserve">Si los rivales continuaran accediendo o comprando un producto relacionado controlado por la empresa fusionada después de la fusión, la fusión puede reducir sustancialmente la competencia si la fusión otorga a la empresa acceso a información competitivamente sensible de los rivales. Esta situación podría surgir en muchos entornos, incluso, por ejemplo, si la empresa fusionada se entera de los volúmenes de ventas o las proyecciones de los rivales al suministrar un insumo o un producto complementario; si conoce planes de promoción y mejoras o innovaciones previstas en productos desde su rol de distribuidor; o si se entera de los planes de entrada a través de conversaciones con rivales potenciales sobre la compatibilidad con un producto complementario que controla. Una fusión que dé a la empresa fusionada acceso a información competitivamente sensible podría socavar la capacidad o el incentivo de los rivales para competir agresivamente o podría facilitar la coordinación.</w:t>
      </w:r>
    </w:p>
    <w:p w:rsidR="00000000" w:rsidDel="00000000" w:rsidP="00000000" w:rsidRDefault="00000000" w:rsidRPr="00000000" w14:paraId="0000008C">
      <w:pPr>
        <w:spacing w:line="360" w:lineRule="auto"/>
        <w:jc w:val="both"/>
        <w:rPr>
          <w:color w:val="222222"/>
          <w:highlight w:val="white"/>
        </w:rPr>
      </w:pPr>
      <w:r w:rsidDel="00000000" w:rsidR="00000000" w:rsidRPr="00000000">
        <w:rPr>
          <w:color w:val="222222"/>
          <w:highlight w:val="white"/>
          <w:rtl w:val="0"/>
        </w:rPr>
        <w:t xml:space="preserve">Socavando la competencia. La empresa fusionada podría utilizar el acceso a la información competitivamente sensible de un rival para socavar la competencia de este. Por ejemplo, la capacidad de la empresa fusionada para anticiparse, apropiarse o de otro modo socavar las acciones procompetitivas del rival puede disuadir al rival de aprovechar plenamente las oportunidades competitivas. Como resultado, los rivales podrían ver menos valor en tomar acciones procompetitivas cuando un competidor tiene acceso a sus capacidades competitivas.</w:t>
      </w:r>
    </w:p>
    <w:p w:rsidR="00000000" w:rsidDel="00000000" w:rsidP="00000000" w:rsidRDefault="00000000" w:rsidRPr="00000000" w14:paraId="0000008D">
      <w:pPr>
        <w:spacing w:line="360" w:lineRule="auto"/>
        <w:jc w:val="both"/>
        <w:rPr>
          <w:color w:val="222222"/>
          <w:highlight w:val="white"/>
        </w:rPr>
      </w:pPr>
      <w:r w:rsidDel="00000000" w:rsidR="00000000" w:rsidRPr="00000000">
        <w:rPr>
          <w:color w:val="222222"/>
          <w:highlight w:val="white"/>
          <w:rtl w:val="0"/>
        </w:rPr>
        <w:t xml:space="preserve">Inicio página 17</w:t>
      </w:r>
    </w:p>
    <w:p w:rsidR="00000000" w:rsidDel="00000000" w:rsidP="00000000" w:rsidRDefault="00000000" w:rsidRPr="00000000" w14:paraId="0000008E">
      <w:pPr>
        <w:spacing w:line="360" w:lineRule="auto"/>
        <w:jc w:val="both"/>
        <w:rPr>
          <w:color w:val="222222"/>
          <w:highlight w:val="white"/>
        </w:rPr>
      </w:pPr>
      <w:r w:rsidDel="00000000" w:rsidR="00000000" w:rsidRPr="00000000">
        <w:rPr>
          <w:color w:val="222222"/>
          <w:highlight w:val="white"/>
          <w:rtl w:val="0"/>
        </w:rPr>
        <w:t xml:space="preserve">información sensible. De manera relacionada, los rivales podrían abstenerse de hacer negocios con la empresa fusionada en lugar de correr el riesgo de que ésta utilice su información comercial sensible desde el punto de vista competitivo para socavarlos. Esos rivales podrían convertirse en competidores menos efectivos si deben depender de socios comerciales menos preferidos o aceptar términos comerciales menos favorables porque sus opciones externas han empeorado o son más limitadas.</w:t>
      </w:r>
    </w:p>
    <w:p w:rsidR="00000000" w:rsidDel="00000000" w:rsidP="00000000" w:rsidRDefault="00000000" w:rsidRPr="00000000" w14:paraId="0000008F">
      <w:pPr>
        <w:spacing w:line="360" w:lineRule="auto"/>
        <w:jc w:val="both"/>
        <w:rPr>
          <w:color w:val="222222"/>
          <w:highlight w:val="white"/>
        </w:rPr>
      </w:pPr>
      <w:r w:rsidDel="00000000" w:rsidR="00000000" w:rsidRPr="00000000">
        <w:rPr>
          <w:color w:val="222222"/>
          <w:highlight w:val="white"/>
          <w:rtl w:val="0"/>
        </w:rPr>
        <w:t xml:space="preserve">Facilitar la coordinación. Una fusión que proporcione acceso a información competitivamente sensible de los rivales podría facilitar la interacción coordinada entre empresas en el mercado relevante al permitir que la empresa fusionada observe las estrategias competitivas de sus rivales con mayor rapidez y confianza. (Ver Pauta 3.)</w:t>
      </w:r>
    </w:p>
    <w:p w:rsidR="00000000" w:rsidDel="00000000" w:rsidP="00000000" w:rsidRDefault="00000000" w:rsidRPr="00000000" w14:paraId="00000090">
      <w:pPr>
        <w:spacing w:line="360" w:lineRule="auto"/>
        <w:jc w:val="both"/>
        <w:rPr>
          <w:color w:val="222222"/>
          <w:highlight w:val="white"/>
        </w:rPr>
      </w:pPr>
      <w:r w:rsidDel="00000000" w:rsidR="00000000" w:rsidRPr="00000000">
        <w:rPr>
          <w:color w:val="222222"/>
          <w:highlight w:val="white"/>
          <w:rtl w:val="0"/>
        </w:rPr>
        <w:t xml:space="preserve">6. Las fusiones verticales no deberían crear estructuras de mercado que impidan la competencia.</w:t>
      </w:r>
    </w:p>
    <w:p w:rsidR="00000000" w:rsidDel="00000000" w:rsidP="00000000" w:rsidRDefault="00000000" w:rsidRPr="00000000" w14:paraId="00000091">
      <w:pPr>
        <w:spacing w:line="360" w:lineRule="auto"/>
        <w:jc w:val="both"/>
        <w:rPr>
          <w:color w:val="222222"/>
          <w:highlight w:val="white"/>
        </w:rPr>
      </w:pPr>
      <w:r w:rsidDel="00000000" w:rsidR="00000000" w:rsidRPr="00000000">
        <w:rPr>
          <w:color w:val="222222"/>
          <w:highlight w:val="white"/>
          <w:rtl w:val="0"/>
        </w:rPr>
        <w:t xml:space="preserve">Una fusión es “vertical” cuando las empresas que se fusionan operan en diferentes niveles de la misma cadena de suministro o distribución. La integración vertical ocurre cuando el producto o servicio suministrado por la empresa “upstream” (por ejemplo, un proveedor de insumos) será utilizado por la empresa “downstream” (por ejemplo, un fabricante de un producto terminado). “El principal vicio de una fusión vertical... es que, al excluir a los competidores de cualquiera de las partes de un segmento del mercado que de otro modo estaría abierto para ellos, el acuerdo puede actuar como un obstáculo para la competencia, lo que priva a los rivales de una oportunidad justa para negociar. competir.”*51 Por lo tanto, las Agencias a veces emprenden un análisis estructural de una cadena de suministro como medio para evaluar si una fusión vertical puede reducir sustancialmente la competencia.*52</w:t>
      </w:r>
    </w:p>
    <w:p w:rsidR="00000000" w:rsidDel="00000000" w:rsidP="00000000" w:rsidRDefault="00000000" w:rsidRPr="00000000" w14:paraId="00000092">
      <w:pPr>
        <w:spacing w:line="360" w:lineRule="auto"/>
        <w:jc w:val="both"/>
        <w:rPr>
          <w:color w:val="222222"/>
          <w:highlight w:val="white"/>
        </w:rPr>
      </w:pPr>
      <w:r w:rsidDel="00000000" w:rsidR="00000000" w:rsidRPr="00000000">
        <w:rPr>
          <w:color w:val="222222"/>
          <w:highlight w:val="white"/>
          <w:rtl w:val="0"/>
        </w:rPr>
        <w:t xml:space="preserve">A. Análisis de participación de mercado</w:t>
      </w:r>
    </w:p>
    <w:p w:rsidR="00000000" w:rsidDel="00000000" w:rsidP="00000000" w:rsidRDefault="00000000" w:rsidRPr="00000000" w14:paraId="00000093">
      <w:pPr>
        <w:spacing w:line="360" w:lineRule="auto"/>
        <w:jc w:val="both"/>
        <w:rPr>
          <w:color w:val="222222"/>
          <w:highlight w:val="white"/>
        </w:rPr>
      </w:pPr>
      <w:r w:rsidDel="00000000" w:rsidR="00000000" w:rsidRPr="00000000">
        <w:rPr>
          <w:color w:val="222222"/>
          <w:highlight w:val="white"/>
          <w:rtl w:val="0"/>
        </w:rPr>
        <w:t xml:space="preserve">El riesgo de dañar la competencia es mayor cuando los rivales no integrados tienen menos sustitutos para el producto relacionado. Las Agencias podrán definir un “mercado relacionado” en torno al producto relacionado (ver Directriz 5), utilizando las metodologías descritas en la Sección III. La “participación de exclusión” es la participación del mercado relacionado que está controlada por la empresa fusionada, de modo que podría impedir el acceso de un rival al producto relacionado en términos competitivos. Si la participación de la ejecución hipotecaria es superior al 50 por ciento, ese factor por sí solo es base suficiente para concluir que el efecto de la fusión puede ser reducir sustancialmente la competencia, sujeto a cualquier evidencia de refutación (ver Sección IV).*53</w:t>
      </w:r>
    </w:p>
    <w:p w:rsidR="00000000" w:rsidDel="00000000" w:rsidP="00000000" w:rsidRDefault="00000000" w:rsidRPr="00000000" w14:paraId="00000094">
      <w:pPr>
        <w:spacing w:line="360" w:lineRule="auto"/>
        <w:jc w:val="both"/>
        <w:rPr>
          <w:color w:val="222222"/>
          <w:highlight w:val="white"/>
        </w:rPr>
      </w:pPr>
      <w:r w:rsidDel="00000000" w:rsidR="00000000" w:rsidRPr="00000000">
        <w:rPr>
          <w:color w:val="222222"/>
          <w:highlight w:val="white"/>
          <w:rtl w:val="0"/>
        </w:rPr>
        <w:t xml:space="preserve">B. Análisis de factores positivos</w:t>
      </w:r>
    </w:p>
    <w:p w:rsidR="00000000" w:rsidDel="00000000" w:rsidP="00000000" w:rsidRDefault="00000000" w:rsidRPr="00000000" w14:paraId="00000095">
      <w:pPr>
        <w:spacing w:line="360" w:lineRule="auto"/>
        <w:jc w:val="both"/>
        <w:rPr>
          <w:color w:val="222222"/>
          <w:highlight w:val="white"/>
        </w:rPr>
      </w:pPr>
      <w:r w:rsidDel="00000000" w:rsidR="00000000" w:rsidRPr="00000000">
        <w:rPr>
          <w:color w:val="222222"/>
          <w:highlight w:val="white"/>
          <w:rtl w:val="0"/>
        </w:rPr>
        <w:t xml:space="preserve">Por debajo de una proporción de ejecución hipotecaria del 50 por ciento, las Agencias consideran una variedad de factores positivos, además de la proporción de ejecución hipotecaria, para determinar si es razonablemente probable que una fusión vertical</w:t>
      </w:r>
    </w:p>
    <w:p w:rsidR="00000000" w:rsidDel="00000000" w:rsidP="00000000" w:rsidRDefault="00000000" w:rsidRPr="00000000" w14:paraId="00000096">
      <w:pPr>
        <w:spacing w:line="360" w:lineRule="auto"/>
        <w:jc w:val="both"/>
        <w:rPr>
          <w:color w:val="222222"/>
          <w:highlight w:val="white"/>
        </w:rPr>
      </w:pPr>
      <w:r w:rsidDel="00000000" w:rsidR="00000000" w:rsidRPr="00000000">
        <w:rPr>
          <w:color w:val="222222"/>
          <w:highlight w:val="white"/>
          <w:rtl w:val="0"/>
        </w:rPr>
        <w:t xml:space="preserve">Inicio página 18</w:t>
      </w:r>
    </w:p>
    <w:p w:rsidR="00000000" w:rsidDel="00000000" w:rsidP="00000000" w:rsidRDefault="00000000" w:rsidRPr="00000000" w14:paraId="00000097">
      <w:pPr>
        <w:spacing w:line="360" w:lineRule="auto"/>
        <w:jc w:val="both"/>
        <w:rPr>
          <w:color w:val="222222"/>
          <w:highlight w:val="white"/>
        </w:rPr>
      </w:pPr>
      <w:r w:rsidDel="00000000" w:rsidR="00000000" w:rsidRPr="00000000">
        <w:rPr>
          <w:color w:val="222222"/>
          <w:highlight w:val="white"/>
          <w:rtl w:val="0"/>
        </w:rPr>
        <w:t xml:space="preserve">restringir las opciones a lo largo de la cadena de suministro, privando a los rivales de una oportunidad justa de competir. La siguiente no es una lista exhaustiva de todas las fuentes de evidencia potencialmente relevante.</w:t>
      </w:r>
    </w:p>
    <w:p w:rsidR="00000000" w:rsidDel="00000000" w:rsidP="00000000" w:rsidRDefault="00000000" w:rsidRPr="00000000" w14:paraId="00000098">
      <w:pPr>
        <w:spacing w:line="360" w:lineRule="auto"/>
        <w:jc w:val="both"/>
        <w:rPr>
          <w:color w:val="222222"/>
          <w:highlight w:val="white"/>
        </w:rPr>
      </w:pPr>
      <w:r w:rsidDel="00000000" w:rsidR="00000000" w:rsidRPr="00000000">
        <w:rPr>
          <w:color w:val="222222"/>
          <w:highlight w:val="white"/>
          <w:rtl w:val="0"/>
        </w:rPr>
        <w:t xml:space="preserve">Tendencia hacia la integración vertical. Las Agencias generalmente considerarán evidencia sobre el grado de integración entre empresas en los mercados relevantes y relacionados y si existe una tendencia hacia una mayor integración vertical. La aceleración de una tendencia hacia la integración vertical puede mostrarse, por ejemplo, a través de: un patrón de integración vertical tras fusiones de una o ambas empresas fusionadas; o evidencia de que una fusión fue motivada por un deseo de asegurar el suministro o la distribución en respuesta a transacciones similares, entre otras*54</w:t>
      </w:r>
    </w:p>
    <w:p w:rsidR="00000000" w:rsidDel="00000000" w:rsidP="00000000" w:rsidRDefault="00000000" w:rsidRPr="00000000" w14:paraId="00000099">
      <w:pPr>
        <w:spacing w:line="360" w:lineRule="auto"/>
        <w:jc w:val="both"/>
        <w:rPr>
          <w:color w:val="222222"/>
          <w:highlight w:val="white"/>
        </w:rPr>
      </w:pPr>
      <w:r w:rsidDel="00000000" w:rsidR="00000000" w:rsidRPr="00000000">
        <w:rPr>
          <w:color w:val="222222"/>
          <w:highlight w:val="white"/>
          <w:rtl w:val="0"/>
        </w:rPr>
        <w:t xml:space="preserve">Naturaleza y Objeto de la Fusión. Cuando la naturaleza y el propósito de la fusión es excluir a los rivales, incluso aumentando sus costos, eso sugiere que es probable que la empresa fusionada excluya a los rivales.*65</w:t>
      </w:r>
    </w:p>
    <w:p w:rsidR="00000000" w:rsidDel="00000000" w:rsidP="00000000" w:rsidRDefault="00000000" w:rsidRPr="00000000" w14:paraId="0000009A">
      <w:pPr>
        <w:spacing w:line="360" w:lineRule="auto"/>
        <w:jc w:val="both"/>
        <w:rPr>
          <w:color w:val="222222"/>
          <w:highlight w:val="white"/>
        </w:rPr>
      </w:pPr>
      <w:r w:rsidDel="00000000" w:rsidR="00000000" w:rsidRPr="00000000">
        <w:rPr>
          <w:color w:val="222222"/>
          <w:highlight w:val="white"/>
          <w:rtl w:val="0"/>
        </w:rPr>
        <w:t xml:space="preserve">El mercado relevante ya está concentrado. El riesgo para la competencia proveniente de cadenas de suministro restringidas es mayor cuando el mercado relevante ya está concentrado o cuando la empresa fusionada ya tiene una posición dominante en ese mercado (ver Directriz 7).</w:t>
      </w:r>
    </w:p>
    <w:p w:rsidR="00000000" w:rsidDel="00000000" w:rsidP="00000000" w:rsidRDefault="00000000" w:rsidRPr="00000000" w14:paraId="0000009B">
      <w:pPr>
        <w:spacing w:line="360" w:lineRule="auto"/>
        <w:jc w:val="both"/>
        <w:rPr>
          <w:color w:val="222222"/>
          <w:highlight w:val="white"/>
        </w:rPr>
      </w:pPr>
      <w:r w:rsidDel="00000000" w:rsidR="00000000" w:rsidRPr="00000000">
        <w:rPr>
          <w:color w:val="222222"/>
          <w:highlight w:val="white"/>
          <w:rtl w:val="0"/>
        </w:rPr>
        <w:t xml:space="preserve">La fusión aumenta las barreras de entrada. Una fusión vertical puede levantar barreras de entrada al limitar las fuentes independientes de suministro, de modo que un nuevo entrante tendría que invertir no sólo para ingresar al mercado relevante, sino también al mercado relacionado, a veces denominado entrada en dos etapas.*56</w:t>
      </w:r>
    </w:p>
    <w:p w:rsidR="00000000" w:rsidDel="00000000" w:rsidP="00000000" w:rsidRDefault="00000000" w:rsidRPr="00000000" w14:paraId="0000009C">
      <w:pPr>
        <w:spacing w:line="360" w:lineRule="auto"/>
        <w:jc w:val="both"/>
        <w:rPr>
          <w:color w:val="222222"/>
          <w:highlight w:val="white"/>
        </w:rPr>
      </w:pPr>
      <w:r w:rsidDel="00000000" w:rsidR="00000000" w:rsidRPr="00000000">
        <w:rPr>
          <w:color w:val="222222"/>
          <w:highlight w:val="white"/>
          <w:rtl w:val="0"/>
        </w:rPr>
        <w:t xml:space="preserve">7. Las fusiones no deben consolidar ni ampliar una posición dominante.</w:t>
      </w:r>
    </w:p>
    <w:p w:rsidR="00000000" w:rsidDel="00000000" w:rsidP="00000000" w:rsidRDefault="00000000" w:rsidRPr="00000000" w14:paraId="0000009D">
      <w:pPr>
        <w:spacing w:line="360" w:lineRule="auto"/>
        <w:jc w:val="both"/>
        <w:rPr>
          <w:color w:val="222222"/>
          <w:highlight w:val="white"/>
        </w:rPr>
      </w:pPr>
      <w:r w:rsidDel="00000000" w:rsidR="00000000" w:rsidRPr="00000000">
        <w:rPr>
          <w:color w:val="222222"/>
          <w:highlight w:val="white"/>
          <w:rtl w:val="0"/>
        </w:rPr>
        <w:t xml:space="preserve">En un mercado que ya está concentrado, la aplicación de las fusiones debe buscar preservar la posibilidad de una eventual desconcentración.*57 En consecuencia, las Agencias evalúan si una fusión que involucra a una “empresa que ya es dominante puede reducir sustancialmente la estructura competitiva de la industria”.*58 Las agencias también evalúan si la fusión puede extender esa posición dominante a nuevos mercados, disminuyendo así sustancialmente la competencia en esos mercados.*59 El efecto de afianzar o ampliar una posición ya dominante “puede ser disminuir sustancialmente la competencia” o “puede ser... .tender a crear un monopolio” en violación del artículo 7 de la</w:t>
      </w:r>
    </w:p>
    <w:p w:rsidR="00000000" w:rsidDel="00000000" w:rsidP="00000000" w:rsidRDefault="00000000" w:rsidRPr="00000000" w14:paraId="0000009E">
      <w:pPr>
        <w:spacing w:line="360" w:lineRule="auto"/>
        <w:jc w:val="both"/>
        <w:rPr>
          <w:color w:val="222222"/>
          <w:highlight w:val="white"/>
        </w:rPr>
      </w:pPr>
      <w:r w:rsidDel="00000000" w:rsidR="00000000" w:rsidRPr="00000000">
        <w:rPr>
          <w:color w:val="222222"/>
          <w:highlight w:val="white"/>
          <w:rtl w:val="0"/>
        </w:rPr>
        <w:t xml:space="preserve">Inicio página 19</w:t>
      </w:r>
    </w:p>
    <w:p w:rsidR="00000000" w:rsidDel="00000000" w:rsidP="00000000" w:rsidRDefault="00000000" w:rsidRPr="00000000" w14:paraId="0000009F">
      <w:pPr>
        <w:spacing w:line="360" w:lineRule="auto"/>
        <w:jc w:val="both"/>
        <w:rPr>
          <w:color w:val="222222"/>
          <w:highlight w:val="white"/>
        </w:rPr>
      </w:pPr>
      <w:r w:rsidDel="00000000" w:rsidR="00000000" w:rsidRPr="00000000">
        <w:rPr>
          <w:color w:val="222222"/>
          <w:highlight w:val="white"/>
          <w:rtl w:val="0"/>
        </w:rPr>
        <w:t xml:space="preserve">Ley Clayton.*60 “Esta doctrina de atrincheramiento bloquea adecuadamente las ventajas competitivas artificiales... pero no simples mejoras en la eficiencia.”*61</w:t>
      </w:r>
    </w:p>
    <w:p w:rsidR="00000000" w:rsidDel="00000000" w:rsidP="00000000" w:rsidRDefault="00000000" w:rsidRPr="00000000" w14:paraId="000000A0">
      <w:pPr>
        <w:spacing w:line="360" w:lineRule="auto"/>
        <w:jc w:val="both"/>
        <w:rPr>
          <w:color w:val="222222"/>
          <w:highlight w:val="white"/>
        </w:rPr>
      </w:pPr>
      <w:r w:rsidDel="00000000" w:rsidR="00000000" w:rsidRPr="00000000">
        <w:rPr>
          <w:color w:val="222222"/>
          <w:highlight w:val="white"/>
          <w:rtl w:val="0"/>
        </w:rPr>
        <w:t xml:space="preserve">Estas preocupaciones pueden surgir en fusiones que no son estrictamente horizontales ni verticales, por lo que las Agencias buscan identificar cualquier conexión que sugiera que la fusión pueda consolidar o ampliar la posición dominante.</w:t>
      </w:r>
    </w:p>
    <w:p w:rsidR="00000000" w:rsidDel="00000000" w:rsidP="00000000" w:rsidRDefault="00000000" w:rsidRPr="00000000" w14:paraId="000000A1">
      <w:pPr>
        <w:spacing w:line="360" w:lineRule="auto"/>
        <w:jc w:val="both"/>
        <w:rPr>
          <w:color w:val="222222"/>
          <w:highlight w:val="white"/>
        </w:rPr>
      </w:pPr>
      <w:r w:rsidDel="00000000" w:rsidR="00000000" w:rsidRPr="00000000">
        <w:rPr>
          <w:color w:val="222222"/>
          <w:highlight w:val="white"/>
          <w:rtl w:val="0"/>
        </w:rPr>
        <w:t xml:space="preserve">Para evaluar esta preocupación, las Agencias consideran si (a) una de las empresas fusionadas ya tiene una posición dominante, y (b) la fusión puede consolidar o ampliar esa posición. Las Agencias evalúan la magnitud de la disminución de la competencia que puede surgir al afianzar una posición dominante en función del grado de dominio que ya se tiene y del grado en que se afianzaría mediante una fusión. Cuanto mayor sea el dominio ya ejercido, menor será el grado de arraigo que da lugar a una disminución sustancial de la competencia. Cuando una empresa que se fusiona tiene o se está acercando a un poder de monopolio, cualquier adquisición que pueda tender a preservar su posición dominante puede tender a crear un monopolio en violación de la Sección 7.</w:t>
      </w:r>
    </w:p>
    <w:p w:rsidR="00000000" w:rsidDel="00000000" w:rsidP="00000000" w:rsidRDefault="00000000" w:rsidRPr="00000000" w14:paraId="000000A2">
      <w:pPr>
        <w:spacing w:line="360" w:lineRule="auto"/>
        <w:jc w:val="both"/>
        <w:rPr>
          <w:color w:val="222222"/>
          <w:highlight w:val="white"/>
        </w:rPr>
      </w:pPr>
      <w:r w:rsidDel="00000000" w:rsidR="00000000" w:rsidRPr="00000000">
        <w:rPr>
          <w:color w:val="222222"/>
          <w:highlight w:val="white"/>
          <w:rtl w:val="0"/>
        </w:rPr>
        <w:t xml:space="preserve">Para identificar si una de las empresas que se fusionan ya tiene una posición dominante*62, las agencias analizan si (i) hay evidencia directa de que una o ambas empresas que se fusionan tienen el poder de aumentar el precio, reducir la calidad o imponer u obtener condiciones de otro modo. que no podrían obtener si no fuera por ese dominio, o (ii) una de las empresas que se fusionan posee al menos el 30 por ciento de participación de mercado.</w:t>
      </w:r>
    </w:p>
    <w:p w:rsidR="00000000" w:rsidDel="00000000" w:rsidP="00000000" w:rsidRDefault="00000000" w:rsidRPr="00000000" w14:paraId="000000A3">
      <w:pPr>
        <w:spacing w:line="360" w:lineRule="auto"/>
        <w:jc w:val="both"/>
        <w:rPr>
          <w:color w:val="222222"/>
          <w:highlight w:val="white"/>
        </w:rPr>
      </w:pPr>
      <w:r w:rsidDel="00000000" w:rsidR="00000000" w:rsidRPr="00000000">
        <w:rPr>
          <w:color w:val="222222"/>
          <w:highlight w:val="white"/>
          <w:rtl w:val="0"/>
        </w:rPr>
        <w:t xml:space="preserve">Si esta investigación revela que al menos una de las empresas que se fusionan ya tiene una posición dominante, las Agencias examinan entonces si la fusión afianzaría esa posición o la extendería a mercados adicionales.</w:t>
      </w:r>
    </w:p>
    <w:p w:rsidR="00000000" w:rsidDel="00000000" w:rsidP="00000000" w:rsidRDefault="00000000" w:rsidRPr="00000000" w14:paraId="000000A4">
      <w:pPr>
        <w:spacing w:line="360" w:lineRule="auto"/>
        <w:jc w:val="both"/>
        <w:rPr>
          <w:color w:val="222222"/>
          <w:highlight w:val="white"/>
        </w:rPr>
      </w:pPr>
      <w:r w:rsidDel="00000000" w:rsidR="00000000" w:rsidRPr="00000000">
        <w:rPr>
          <w:color w:val="222222"/>
          <w:highlight w:val="white"/>
          <w:rtl w:val="0"/>
        </w:rPr>
        <w:t xml:space="preserve">Consolidar una posición dominante. Las Agencias examinan si la fusión puede consolidar la posición dominante a través de algún mecanismo consistente con las realidades del mercado que disminuya las amenazas competitivas que enfrenta la empresa fusionada. Por ejemplo:</w:t>
      </w:r>
    </w:p>
    <w:p w:rsidR="00000000" w:rsidDel="00000000" w:rsidP="00000000" w:rsidRDefault="00000000" w:rsidRPr="00000000" w14:paraId="000000A5">
      <w:pPr>
        <w:spacing w:line="360" w:lineRule="auto"/>
        <w:jc w:val="both"/>
        <w:rPr>
          <w:color w:val="222222"/>
          <w:highlight w:val="white"/>
        </w:rPr>
      </w:pPr>
      <w:r w:rsidDel="00000000" w:rsidR="00000000" w:rsidRPr="00000000">
        <w:rPr>
          <w:color w:val="222222"/>
          <w:highlight w:val="white"/>
          <w:rtl w:val="0"/>
        </w:rPr>
        <w:t xml:space="preserve">A. Aumento de las barreras de entrada en general. Las barreras de entrada protegen a una empresa establecida de la competencia al dificultarle la entrada al mercado o la expansión de las empresas existentes. Las barreras de entrada pueden incluir, por ejemplo, el tiempo, el dinero y la experiencia necesarios para desarrollar un producto competidor; el riesgo de que dicha entrada no permita recuperar la inversión requerida; los costos para los clientes por cambiar de proveedor;</w:t>
      </w:r>
    </w:p>
    <w:p w:rsidR="00000000" w:rsidDel="00000000" w:rsidP="00000000" w:rsidRDefault="00000000" w:rsidRPr="00000000" w14:paraId="000000A6">
      <w:pPr>
        <w:spacing w:line="360" w:lineRule="auto"/>
        <w:jc w:val="both"/>
        <w:rPr>
          <w:color w:val="222222"/>
          <w:highlight w:val="white"/>
        </w:rPr>
      </w:pPr>
      <w:r w:rsidDel="00000000" w:rsidR="00000000" w:rsidRPr="00000000">
        <w:rPr>
          <w:color w:val="222222"/>
          <w:highlight w:val="white"/>
          <w:rtl w:val="0"/>
        </w:rPr>
        <w:t xml:space="preserve">Inicio página 20</w:t>
      </w:r>
    </w:p>
    <w:p w:rsidR="00000000" w:rsidDel="00000000" w:rsidP="00000000" w:rsidRDefault="00000000" w:rsidRPr="00000000" w14:paraId="000000A7">
      <w:pPr>
        <w:spacing w:line="360" w:lineRule="auto"/>
        <w:jc w:val="both"/>
        <w:rPr>
          <w:color w:val="222222"/>
          <w:highlight w:val="white"/>
        </w:rPr>
      </w:pPr>
      <w:r w:rsidDel="00000000" w:rsidR="00000000" w:rsidRPr="00000000">
        <w:rPr>
          <w:color w:val="222222"/>
          <w:highlight w:val="white"/>
          <w:rtl w:val="0"/>
        </w:rPr>
        <w:t xml:space="preserve">barreras regulatorias existentes; el control sobre los insumos necesarios por parte de un participante actual en el mercado; economías de escala; efectos de red; preferencias arraigadas por marcas establecidas; o control de patentes. Una fusión que aumenta las barreras de entrada, incluso exigiendo a los rivales que incurran en costos de entrada adicionales, puede consolidar una posición dominante.*63 Varias barreras de entrada específicas se analizan más adelante en BD.</w:t>
      </w:r>
    </w:p>
    <w:p w:rsidR="00000000" w:rsidDel="00000000" w:rsidP="00000000" w:rsidRDefault="00000000" w:rsidRPr="00000000" w14:paraId="000000A8">
      <w:pPr>
        <w:spacing w:line="360" w:lineRule="auto"/>
        <w:jc w:val="both"/>
        <w:rPr>
          <w:color w:val="222222"/>
          <w:highlight w:val="white"/>
        </w:rPr>
      </w:pPr>
      <w:r w:rsidDel="00000000" w:rsidR="00000000" w:rsidRPr="00000000">
        <w:rPr>
          <w:color w:val="222222"/>
          <w:highlight w:val="white"/>
          <w:rtl w:val="0"/>
        </w:rPr>
        <w:t xml:space="preserve">B. Costos crecientes de cambio. Los costos asociados con el cambio de proveedores (a menudo denominados costos de cambio) son una importante barrera de entrada que puede afianzar una posición dominante. Una fusión puede aumentar los costos de cambio si hace más difícil para los clientes abandonar el producto o servicio de la empresa dominante, por ejemplo al permitir la agrupación de múltiples productos o servicios. Una fusión también puede aumentar los costos de cambio si le da a la empresa dominante el control de algo que los clientes utilizan para cambiar de proveedor, como un servicio de transferencia de datos.</w:t>
      </w:r>
    </w:p>
    <w:p w:rsidR="00000000" w:rsidDel="00000000" w:rsidP="00000000" w:rsidRDefault="00000000" w:rsidRPr="00000000" w14:paraId="000000A9">
      <w:pPr>
        <w:spacing w:line="360" w:lineRule="auto"/>
        <w:jc w:val="both"/>
        <w:rPr>
          <w:color w:val="222222"/>
          <w:highlight w:val="white"/>
        </w:rPr>
      </w:pPr>
      <w:r w:rsidDel="00000000" w:rsidR="00000000" w:rsidRPr="00000000">
        <w:rPr>
          <w:color w:val="222222"/>
          <w:highlight w:val="white"/>
          <w:rtl w:val="0"/>
        </w:rPr>
        <w:t xml:space="preserve">C. Interferir con el uso de alternativas competitivas. Una posición dominante puede verse amenazada por un servicio que los clientes utilizan para trabajar con múltiples proveedores de paquetes de productos y servicios similares o superpuestos. Si una empresa que ya es dominante adquiere una empresa que proporciona un servicio que respalda el uso de múltiples proveedores, puede tener un incentivo para degradar la utilidad o disponibilidad de ese servicio, o para modificar el servicio para orientar a los clientes hacia sus propios productos, afianzando su posición dominante.</w:t>
      </w:r>
    </w:p>
    <w:p w:rsidR="00000000" w:rsidDel="00000000" w:rsidP="00000000" w:rsidRDefault="00000000" w:rsidRPr="00000000" w14:paraId="000000AA">
      <w:pPr>
        <w:spacing w:line="360" w:lineRule="auto"/>
        <w:jc w:val="both"/>
        <w:rPr>
          <w:color w:val="222222"/>
          <w:highlight w:val="white"/>
        </w:rPr>
      </w:pPr>
      <w:r w:rsidDel="00000000" w:rsidR="00000000" w:rsidRPr="00000000">
        <w:rPr>
          <w:color w:val="222222"/>
          <w:highlight w:val="white"/>
          <w:rtl w:val="0"/>
        </w:rPr>
        <w:t xml:space="preserve">D. Privar a los rivales de economías de escala o efectos de red. Las economías de escala y los efectos de red pueden servir como barrera de entrada. Por lo tanto, privar a los rivales del acceso a economías de escala y efectos de red puede consolidar una posición dominante. Si una empresa que ya es dominante adquiere mediante fusión una escala adicional o clientes tales que no están disponibles para posibles rivales, la fusión puede limitar la capacidad de los rivales para mejorar sus propios productos y competir más eficazmente.</w:t>
      </w:r>
    </w:p>
    <w:p w:rsidR="00000000" w:rsidDel="00000000" w:rsidP="00000000" w:rsidRDefault="00000000" w:rsidRPr="00000000" w14:paraId="000000AB">
      <w:pPr>
        <w:spacing w:line="360" w:lineRule="auto"/>
        <w:jc w:val="both"/>
        <w:rPr>
          <w:color w:val="222222"/>
          <w:highlight w:val="white"/>
        </w:rPr>
      </w:pPr>
      <w:r w:rsidDel="00000000" w:rsidR="00000000" w:rsidRPr="00000000">
        <w:rPr>
          <w:color w:val="222222"/>
          <w:highlight w:val="white"/>
          <w:rtl w:val="0"/>
        </w:rPr>
        <w:t xml:space="preserve">E. Eliminar una amenaza competitiva incipiente. Una amenaza incipiente para una empresa dominante es una empresa que podría convertirse en un rival importante, facilitar el crecimiento de otros rivales o conducir de otro modo a una reducción de su dominio. Al evaluar una fusión que elimina una amenaza incipiente, las Agencias examinan la tendencia de la fusión a crear un monopolio según la Sección 7 de la Ley Clayton.</w:t>
      </w:r>
    </w:p>
    <w:p w:rsidR="00000000" w:rsidDel="00000000" w:rsidP="00000000" w:rsidRDefault="00000000" w:rsidRPr="00000000" w14:paraId="000000AC">
      <w:pPr>
        <w:spacing w:line="360" w:lineRule="auto"/>
        <w:jc w:val="both"/>
        <w:rPr>
          <w:color w:val="222222"/>
          <w:highlight w:val="white"/>
        </w:rPr>
      </w:pPr>
      <w:r w:rsidDel="00000000" w:rsidR="00000000" w:rsidRPr="00000000">
        <w:rPr>
          <w:color w:val="222222"/>
          <w:highlight w:val="white"/>
          <w:rtl w:val="0"/>
        </w:rPr>
        <w:t xml:space="preserve">Además de estos ejemplos, las Agencias evaluarán si la fusión consolida una posición dominante de alguna otra manera en función de las realidades del mercado específicas de la fusión.</w:t>
      </w:r>
    </w:p>
    <w:p w:rsidR="00000000" w:rsidDel="00000000" w:rsidP="00000000" w:rsidRDefault="00000000" w:rsidRPr="00000000" w14:paraId="000000AD">
      <w:pPr>
        <w:spacing w:line="360" w:lineRule="auto"/>
        <w:jc w:val="both"/>
        <w:rPr>
          <w:color w:val="222222"/>
          <w:highlight w:val="white"/>
        </w:rPr>
      </w:pPr>
      <w:r w:rsidDel="00000000" w:rsidR="00000000" w:rsidRPr="00000000">
        <w:rPr>
          <w:color w:val="222222"/>
          <w:highlight w:val="white"/>
          <w:rtl w:val="0"/>
        </w:rPr>
        <w:t xml:space="preserve">En ocasiones, las altas barreras de entrada pueden volverse temporalmente menos efectivas para proteger el dominio de una empresa. Por ejemplo, las transiciones tecnológicas pueden hacer que las barreras de entrada existentes sean menos relevantes, y una empresa dominante podría tratar de adquirir empresas que le ayuden a reforzar o recrear esas barreras de entrada para que su dominio perdure más allá de la transición tecnológica. Además, las transiciones tecnológicas pueden crear oportunidades temporales para que los entrantes se diferencien en función de su alineación con las nuevas tecnologías. Una empresa dominante podría intentar adquirir empresas que pudieran</w:t>
      </w:r>
    </w:p>
    <w:p w:rsidR="00000000" w:rsidDel="00000000" w:rsidP="00000000" w:rsidRDefault="00000000" w:rsidRPr="00000000" w14:paraId="000000AE">
      <w:pPr>
        <w:spacing w:line="360" w:lineRule="auto"/>
        <w:jc w:val="both"/>
        <w:rPr>
          <w:color w:val="222222"/>
          <w:highlight w:val="white"/>
        </w:rPr>
      </w:pPr>
      <w:r w:rsidDel="00000000" w:rsidR="00000000" w:rsidRPr="00000000">
        <w:rPr>
          <w:color w:val="222222"/>
          <w:highlight w:val="white"/>
          <w:rtl w:val="0"/>
        </w:rPr>
        <w:t xml:space="preserve">Inicio página 21</w:t>
      </w:r>
    </w:p>
    <w:p w:rsidR="00000000" w:rsidDel="00000000" w:rsidP="00000000" w:rsidRDefault="00000000" w:rsidRPr="00000000" w14:paraId="000000AF">
      <w:pPr>
        <w:spacing w:line="360" w:lineRule="auto"/>
        <w:jc w:val="both"/>
        <w:rPr>
          <w:color w:val="222222"/>
          <w:highlight w:val="white"/>
        </w:rPr>
      </w:pPr>
      <w:r w:rsidDel="00000000" w:rsidR="00000000" w:rsidRPr="00000000">
        <w:rPr>
          <w:color w:val="222222"/>
          <w:highlight w:val="white"/>
          <w:rtl w:val="0"/>
        </w:rPr>
        <w:t xml:space="preserve">de lo contrario, ganar suficientes clientes para superar las barreras de entrada. Las Agencias ponen especial cuidado en preservar las oportunidades de desconcentración durante los cambios tecnológicos.</w:t>
      </w:r>
    </w:p>
    <w:p w:rsidR="00000000" w:rsidDel="00000000" w:rsidP="00000000" w:rsidRDefault="00000000" w:rsidRPr="00000000" w14:paraId="000000B0">
      <w:pPr>
        <w:spacing w:line="360" w:lineRule="auto"/>
        <w:jc w:val="both"/>
        <w:rPr>
          <w:color w:val="222222"/>
          <w:highlight w:val="white"/>
        </w:rPr>
      </w:pPr>
      <w:r w:rsidDel="00000000" w:rsidR="00000000" w:rsidRPr="00000000">
        <w:rPr>
          <w:color w:val="222222"/>
          <w:highlight w:val="white"/>
          <w:rtl w:val="0"/>
        </w:rPr>
        <w:t xml:space="preserve">Aparte de y además de su análisis de la Sección 7, las Agencias considerarán si la fusión viola la Sección 2 de la Ley Sherman. Por ejemplo, según la Sección 2 de la Ley Sherman, una empresa que pueda desafiar a un monopolista puede caracterizarse como una “amenaza incipiente” incluso si la amenaza inminente es incierta y puede tardar varios años en materializarse.64 Las Agencias evalúan si la fusión es razonablemente capaz de contribuir significativamente a la preservación del poder monopólico en violación de la Sección 2, que gira en torno a si la empresa adquirida es una amenaza competitiva incipiente.*65</w:t>
      </w:r>
    </w:p>
    <w:p w:rsidR="00000000" w:rsidDel="00000000" w:rsidP="00000000" w:rsidRDefault="00000000" w:rsidRPr="00000000" w14:paraId="000000B1">
      <w:pPr>
        <w:spacing w:line="360" w:lineRule="auto"/>
        <w:jc w:val="both"/>
        <w:rPr>
          <w:color w:val="222222"/>
          <w:highlight w:val="white"/>
        </w:rPr>
      </w:pPr>
      <w:r w:rsidDel="00000000" w:rsidR="00000000" w:rsidRPr="00000000">
        <w:rPr>
          <w:color w:val="222222"/>
          <w:highlight w:val="white"/>
          <w:rtl w:val="0"/>
        </w:rPr>
        <w:t xml:space="preserve">Ampliar una posición dominante a un mercado relacionado. Las Agencias también examinan el riesgo de que una fusión pueda permitir a la empresa fusionada extender una posición dominante de un mercado a un mercado relacionado, reduciendo así sustancialmente la competencia en el mercado relacionado. Por ejemplo, la fusión podría llevar a la empresa fusionada a aprovechar su posición vinculando, agrupando, condicionando o vinculando de otro modo las ventas de dos productos, excluyendo a las empresas rivales y, en última instancia, reduciendo sustancialmente la competencia en el mercado relacionado.66 Las Agencias no intentarán evaluar si tal vinculación, agrupación, condicionamiento u otro vínculo de los dos productos violaría alguna ley, sino que evaluará si dicha conducta, si ocurriera, puede tender a extender la posición dominante de la empresa.</w:t>
      </w:r>
    </w:p>
    <w:p w:rsidR="00000000" w:rsidDel="00000000" w:rsidP="00000000" w:rsidRDefault="00000000" w:rsidRPr="00000000" w14:paraId="000000B2">
      <w:pPr>
        <w:spacing w:line="360" w:lineRule="auto"/>
        <w:jc w:val="both"/>
        <w:rPr>
          <w:color w:val="222222"/>
          <w:highlight w:val="white"/>
        </w:rPr>
      </w:pPr>
      <w:r w:rsidDel="00000000" w:rsidR="00000000" w:rsidRPr="00000000">
        <w:rPr>
          <w:color w:val="222222"/>
          <w:highlight w:val="white"/>
          <w:rtl w:val="0"/>
        </w:rPr>
        <w:t xml:space="preserve">8. Las fusiones no deberían promover una tendencia hacia la concentración.</w:t>
      </w:r>
    </w:p>
    <w:p w:rsidR="00000000" w:rsidDel="00000000" w:rsidP="00000000" w:rsidRDefault="00000000" w:rsidRPr="00000000" w14:paraId="000000B3">
      <w:pPr>
        <w:spacing w:line="360" w:lineRule="auto"/>
        <w:jc w:val="both"/>
        <w:rPr>
          <w:color w:val="222222"/>
          <w:highlight w:val="white"/>
        </w:rPr>
      </w:pPr>
      <w:r w:rsidDel="00000000" w:rsidR="00000000" w:rsidRPr="00000000">
        <w:rPr>
          <w:color w:val="222222"/>
          <w:highlight w:val="white"/>
          <w:rtl w:val="0"/>
        </w:rPr>
        <w:t xml:space="preserve">El efecto de una fusión puede ser sustancialmente el de disminuir la competencia o tender a crear un monopolio si contribuye a una tendencia hacia la concentración. La Ley Clayton “fue diseñada para detener las fusiones 'en un momento en que la tendencia a una disminución de la competencia en una línea de comercio aún está en sus inicios'”.*67 Por lo tanto, la Corte Suprema ha “adoptado [adoptó] un enfoque para una determinación de una disminución 'sustancial' de la competencia [que] permita al Gobierno basar su caso en la demostración de incluso pequeños aumentos de participación de mercado o concentración de mercado en aquellas industrias o mercados donde la concentración ya es grande o ha estado aumentando recientemente .”*68 La Directriz 1 explica cómo las Agencias consideran las fusiones en mercados altamente concentrados o que resultan en ellos. Si la concentración “ha estado aumentando recientemente”, las Agencias examinan si la fusión promovería esa tendencia hacia la concentración.</w:t>
      </w:r>
    </w:p>
    <w:p w:rsidR="00000000" w:rsidDel="00000000" w:rsidP="00000000" w:rsidRDefault="00000000" w:rsidRPr="00000000" w14:paraId="000000B4">
      <w:pPr>
        <w:spacing w:line="360" w:lineRule="auto"/>
        <w:jc w:val="both"/>
        <w:rPr>
          <w:color w:val="222222"/>
          <w:highlight w:val="white"/>
        </w:rPr>
      </w:pPr>
      <w:r w:rsidDel="00000000" w:rsidR="00000000" w:rsidRPr="00000000">
        <w:rPr>
          <w:color w:val="222222"/>
          <w:highlight w:val="white"/>
          <w:rtl w:val="0"/>
        </w:rPr>
        <w:t xml:space="preserve">Las Agencias buscan dos factores que juntos indiquen que una fusión promovería una tendencia hacia la concentración lo suficiente como para reducir sustancialmente la competencia.</w:t>
      </w:r>
    </w:p>
    <w:p w:rsidR="00000000" w:rsidDel="00000000" w:rsidP="00000000" w:rsidRDefault="00000000" w:rsidRPr="00000000" w14:paraId="000000B5">
      <w:pPr>
        <w:spacing w:line="360" w:lineRule="auto"/>
        <w:jc w:val="both"/>
        <w:rPr>
          <w:color w:val="222222"/>
          <w:highlight w:val="white"/>
        </w:rPr>
      </w:pPr>
      <w:r w:rsidDel="00000000" w:rsidR="00000000" w:rsidRPr="00000000">
        <w:rPr>
          <w:color w:val="222222"/>
          <w:highlight w:val="white"/>
          <w:rtl w:val="0"/>
        </w:rPr>
        <w:t xml:space="preserve">Inicio página 22</w:t>
      </w:r>
    </w:p>
    <w:p w:rsidR="00000000" w:rsidDel="00000000" w:rsidP="00000000" w:rsidRDefault="00000000" w:rsidRPr="00000000" w14:paraId="000000B6">
      <w:pPr>
        <w:spacing w:line="360" w:lineRule="auto"/>
        <w:jc w:val="both"/>
        <w:rPr>
          <w:color w:val="222222"/>
          <w:highlight w:val="white"/>
        </w:rPr>
      </w:pPr>
      <w:r w:rsidDel="00000000" w:rsidR="00000000" w:rsidRPr="00000000">
        <w:rPr>
          <w:color w:val="222222"/>
          <w:highlight w:val="white"/>
          <w:rtl w:val="0"/>
        </w:rPr>
        <w:t xml:space="preserve">Primero, las Agencias consideran si la fusión se produciría en un mercado o sector industrial donde existe una tendencia significativa hacia la concentración. Esa tendencia puede ser hacia la concentración horizontal, o puede ser una “tendencia hacia la integración vertical” que en última instancia resultaría en la “exclusión de fabricantes independientes de mercados que de otro modo estarían abiertos a ellos”69 (Ver Directriz 6). Esa tendencia puede establecerse mediante la estructura del mercado, por ejemplo, cuando un IHH en constante aumento supera los 1.000 y aumenta hacia los 1.800. O puede reflejarse en otras características del mercado, como la salida de actores importantes u otros factores que impulsan la concentración.*70</w:t>
      </w:r>
    </w:p>
    <w:p w:rsidR="00000000" w:rsidDel="00000000" w:rsidP="00000000" w:rsidRDefault="00000000" w:rsidRPr="00000000" w14:paraId="000000B7">
      <w:pPr>
        <w:spacing w:line="360" w:lineRule="auto"/>
        <w:jc w:val="both"/>
        <w:rPr>
          <w:color w:val="222222"/>
          <w:highlight w:val="white"/>
        </w:rPr>
      </w:pPr>
      <w:r w:rsidDel="00000000" w:rsidR="00000000" w:rsidRPr="00000000">
        <w:rPr>
          <w:color w:val="222222"/>
          <w:highlight w:val="white"/>
          <w:rtl w:val="0"/>
        </w:rPr>
        <w:t xml:space="preserve">En segundo lugar, las Agencias examinan si la fusión aumentaría el nivel actual de concentración o el ritmo de esa tendencia. Esto puede establecerse mediante un aumento significativo de la concentración, como un cambio en el HHI superior a 200, o puede establecerse mediante otros hechos que demuestren que la fusión aumentaría el ritmo de concentración.</w:t>
      </w:r>
    </w:p>
    <w:p w:rsidR="00000000" w:rsidDel="00000000" w:rsidP="00000000" w:rsidRDefault="00000000" w:rsidRPr="00000000" w14:paraId="000000B8">
      <w:pPr>
        <w:spacing w:line="360" w:lineRule="auto"/>
        <w:jc w:val="both"/>
        <w:rPr>
          <w:color w:val="222222"/>
          <w:highlight w:val="white"/>
        </w:rPr>
      </w:pPr>
      <w:r w:rsidDel="00000000" w:rsidR="00000000" w:rsidRPr="00000000">
        <w:rPr>
          <w:color w:val="222222"/>
          <w:highlight w:val="white"/>
          <w:rtl w:val="0"/>
        </w:rPr>
        <w:t xml:space="preserve">9. Cuando una Fusión sea parte de una Serie de Adquisiciones Múltiples, las Agencias Podrán Examinar la Serie Completa.</w:t>
      </w:r>
    </w:p>
    <w:p w:rsidR="00000000" w:rsidDel="00000000" w:rsidP="00000000" w:rsidRDefault="00000000" w:rsidRPr="00000000" w14:paraId="000000B9">
      <w:pPr>
        <w:spacing w:line="360" w:lineRule="auto"/>
        <w:jc w:val="both"/>
        <w:rPr>
          <w:color w:val="222222"/>
          <w:highlight w:val="white"/>
        </w:rPr>
      </w:pPr>
      <w:r w:rsidDel="00000000" w:rsidR="00000000" w:rsidRPr="00000000">
        <w:rPr>
          <w:color w:val="222222"/>
          <w:highlight w:val="white"/>
          <w:rtl w:val="0"/>
        </w:rPr>
        <w:t xml:space="preserve">Una empresa que se involucra en un patrón o estrategia anticompetitiva de múltiples adquisiciones pequeñas en la misma línea de negocios o en líneas relacionadas puede violar la Sección 7, incluso si ninguna adquisición por sí sola correría el riesgo de disminuir sustancialmente la competencia o tender a crear un monopolio.71 En estas situaciones , las Agencias pueden evaluar la serie de adquisiciones como parte de una tendencia de la industria (Pauta 8) o evaluar el patrón o estrategia general de adquisiciones en serie por parte de la empresa adquirente según las Pautas 1 a 7.</w:t>
      </w:r>
    </w:p>
    <w:p w:rsidR="00000000" w:rsidDel="00000000" w:rsidP="00000000" w:rsidRDefault="00000000" w:rsidRPr="00000000" w14:paraId="000000BA">
      <w:pPr>
        <w:spacing w:line="360" w:lineRule="auto"/>
        <w:jc w:val="both"/>
        <w:rPr>
          <w:color w:val="222222"/>
          <w:highlight w:val="white"/>
        </w:rPr>
      </w:pPr>
      <w:r w:rsidDel="00000000" w:rsidR="00000000" w:rsidRPr="00000000">
        <w:rPr>
          <w:color w:val="222222"/>
          <w:highlight w:val="white"/>
          <w:rtl w:val="0"/>
        </w:rPr>
        <w:t xml:space="preserve">Al ampliar la ley antimonopolio más allá de la Ley Sherman mediante la aprobación de la Ley Clayton, el Congreso pretendía “permitir la intervención en un proceso acumulativo cuando el efecto de una adquisición pueda ser una reducción significativa del vigor de la competencia, aunque este efecto pueda no ser tan grande”. de gran alcance que equivalga a una combinación que restrinja el comercio, cree un monopolio o constituya un intento de monopolizar”.*72 Como ha reconocido la Corte Suprema, una serie acumulativa de fusiones puede “convertir una industria de una industria de intensa competencia entre muchas empresas a una en la que tres o cuatro [compañías] grandes producen todo el suministro.”*73 En consecuencia, las Agencias considerarán adquisiciones individuales a la luz del efecto acumulativo de patrones o estrategias comerciales relacionados.</w:t>
      </w:r>
    </w:p>
    <w:p w:rsidR="00000000" w:rsidDel="00000000" w:rsidP="00000000" w:rsidRDefault="00000000" w:rsidRPr="00000000" w14:paraId="000000BB">
      <w:pPr>
        <w:spacing w:line="360" w:lineRule="auto"/>
        <w:jc w:val="both"/>
        <w:rPr>
          <w:color w:val="222222"/>
          <w:highlight w:val="white"/>
        </w:rPr>
      </w:pPr>
      <w:r w:rsidDel="00000000" w:rsidR="00000000" w:rsidRPr="00000000">
        <w:rPr>
          <w:color w:val="222222"/>
          <w:highlight w:val="white"/>
          <w:rtl w:val="0"/>
        </w:rPr>
        <w:t xml:space="preserve">Las Agencias pueden examinar un patrón o estrategia de crecimiento a través de adquisiciones examinando tanto la historia de la empresa como los incentivos estratégicos actuales o futuros. La evidencia histórica se centra en las prácticas de adquisición reales (consumadas o no) de la empresa, tanto en los mercados en cuestión como en otros mercados, para revelar cualquier enfoque estratégico general hacia las adquisiciones en serie. La evidencia de los incentivos actuales de la empresa incluye documentos y testimonios que reflejan sus planes.</w:t>
      </w:r>
    </w:p>
    <w:p w:rsidR="00000000" w:rsidDel="00000000" w:rsidP="00000000" w:rsidRDefault="00000000" w:rsidRPr="00000000" w14:paraId="000000BC">
      <w:pPr>
        <w:spacing w:line="360" w:lineRule="auto"/>
        <w:jc w:val="both"/>
        <w:rPr>
          <w:color w:val="222222"/>
          <w:highlight w:val="white"/>
        </w:rPr>
      </w:pPr>
      <w:r w:rsidDel="00000000" w:rsidR="00000000" w:rsidRPr="00000000">
        <w:rPr>
          <w:color w:val="222222"/>
          <w:highlight w:val="white"/>
          <w:rtl w:val="0"/>
        </w:rPr>
        <w:t xml:space="preserve">Inicio página 23</w:t>
      </w:r>
    </w:p>
    <w:p w:rsidR="00000000" w:rsidDel="00000000" w:rsidP="00000000" w:rsidRDefault="00000000" w:rsidRPr="00000000" w14:paraId="000000BD">
      <w:pPr>
        <w:spacing w:line="360" w:lineRule="auto"/>
        <w:jc w:val="both"/>
        <w:rPr>
          <w:color w:val="222222"/>
          <w:highlight w:val="white"/>
        </w:rPr>
      </w:pPr>
      <w:r w:rsidDel="00000000" w:rsidR="00000000" w:rsidRPr="00000000">
        <w:rPr>
          <w:color w:val="222222"/>
          <w:highlight w:val="white"/>
          <w:rtl w:val="0"/>
        </w:rPr>
        <w:t xml:space="preserve">e incentivos estratégicos tanto para la adquisición individual como para su posición en la industria en general. Cuando una o ambas partes que se fusionan han adoptado un patrón o estrategia de búsqueda de consolidación mediante adquisición, las Agencias examinarán el impacto de la estrategia acumulativa según cualquiera de las otras Directrices para determinar si esa estrategia puede disminuir sustancialmente la competencia o tender a crear un monopolio.</w:t>
      </w:r>
    </w:p>
    <w:p w:rsidR="00000000" w:rsidDel="00000000" w:rsidP="00000000" w:rsidRDefault="00000000" w:rsidRPr="00000000" w14:paraId="000000BE">
      <w:pPr>
        <w:spacing w:line="360" w:lineRule="auto"/>
        <w:jc w:val="both"/>
        <w:rPr>
          <w:color w:val="222222"/>
          <w:highlight w:val="white"/>
        </w:rPr>
      </w:pPr>
      <w:r w:rsidDel="00000000" w:rsidR="00000000" w:rsidRPr="00000000">
        <w:rPr>
          <w:color w:val="222222"/>
          <w:highlight w:val="white"/>
          <w:rtl w:val="0"/>
        </w:rPr>
        <w:t xml:space="preserve">10. Cuando una Fusión Involucra una Plataforma Multilateral, las Agencias Examinan la Competencia entre Plataformas, en una Plataforma, o para Desplazar una Plataforma.</w:t>
      </w:r>
    </w:p>
    <w:p w:rsidR="00000000" w:rsidDel="00000000" w:rsidP="00000000" w:rsidRDefault="00000000" w:rsidRPr="00000000" w14:paraId="000000BF">
      <w:pPr>
        <w:spacing w:line="360" w:lineRule="auto"/>
        <w:jc w:val="both"/>
        <w:rPr>
          <w:color w:val="222222"/>
          <w:highlight w:val="white"/>
        </w:rPr>
      </w:pPr>
      <w:r w:rsidDel="00000000" w:rsidR="00000000" w:rsidRPr="00000000">
        <w:rPr>
          <w:color w:val="222222"/>
          <w:highlight w:val="white"/>
          <w:rtl w:val="0"/>
        </w:rPr>
        <w:t xml:space="preserve">Las plataformas proporcionan diferentes productos o servicios a dos o más grupos o “lados” diferentes que pueden beneficiarse de la participación de los demás. Las fusiones que involucran plataformas pueden dar lugar a problemas competitivos, incluso cuando una empresa que se fusiona con la plataforma tiene una relación con ésta que no es estrictamente horizontal o vertical. Al evaluar una fusión que involucra una plataforma, las Agencias aplican las Directrices 1 a 8 teniendo en cuenta las realidades del mercado asociadas con la competencia de plataformas. Específicamente, las Agencias consideran la competencia entre plataformas, la competencia en una plataforma y la competencia para desplazar la plataforma.</w:t>
      </w:r>
    </w:p>
    <w:p w:rsidR="00000000" w:rsidDel="00000000" w:rsidP="00000000" w:rsidRDefault="00000000" w:rsidRPr="00000000" w14:paraId="000000C0">
      <w:pPr>
        <w:spacing w:line="360" w:lineRule="auto"/>
        <w:jc w:val="both"/>
        <w:rPr>
          <w:color w:val="222222"/>
          <w:highlight w:val="white"/>
        </w:rPr>
      </w:pPr>
      <w:r w:rsidDel="00000000" w:rsidR="00000000" w:rsidRPr="00000000">
        <w:rPr>
          <w:color w:val="222222"/>
          <w:highlight w:val="white"/>
          <w:rtl w:val="0"/>
        </w:rPr>
        <w:t xml:space="preserve">Las plataformas multilaterales generalmente tienen varios atributos en común, aunque también pueden variar de manera importante. Algunos de estos atributos incluyen:</w:t>
      </w:r>
    </w:p>
    <w:p w:rsidR="00000000" w:rsidDel="00000000" w:rsidP="00000000" w:rsidRDefault="00000000" w:rsidRPr="00000000" w14:paraId="000000C1">
      <w:pPr>
        <w:spacing w:line="360" w:lineRule="auto"/>
        <w:jc w:val="both"/>
        <w:rPr>
          <w:color w:val="222222"/>
          <w:highlight w:val="white"/>
        </w:rPr>
      </w:pPr>
      <w:r w:rsidDel="00000000" w:rsidR="00000000" w:rsidRPr="00000000">
        <w:rPr>
          <w:color w:val="222222"/>
          <w:highlight w:val="white"/>
          <w:rtl w:val="0"/>
        </w:rPr>
        <w:t xml:space="preserve">A. Las plataformas tienen múltiples lados. En cada lado de una plataforma, los participantes de la plataforma brindan o utilizan distintos productos y servicios.*74 Los participantes pueden proporcionar o utilizar diferentes tipos de productos o servicios en cada lado.</w:t>
      </w:r>
    </w:p>
    <w:p w:rsidR="00000000" w:rsidDel="00000000" w:rsidP="00000000" w:rsidRDefault="00000000" w:rsidRPr="00000000" w14:paraId="000000C2">
      <w:pPr>
        <w:spacing w:line="360" w:lineRule="auto"/>
        <w:jc w:val="both"/>
        <w:rPr>
          <w:color w:val="222222"/>
          <w:highlight w:val="white"/>
        </w:rPr>
      </w:pPr>
      <w:r w:rsidDel="00000000" w:rsidR="00000000" w:rsidRPr="00000000">
        <w:rPr>
          <w:color w:val="222222"/>
          <w:highlight w:val="white"/>
          <w:rtl w:val="0"/>
        </w:rPr>
        <w:t xml:space="preserve">B. Un operador de plataforma proporciona los servicios principales que permiten que la plataforma conecte grupos de participantes en múltiples lados. El operador de la plataforma controla el acceso de otros participantes a la plataforma y puede influir en cómo se desarrollan las interacciones entre los participantes de la plataforma.</w:t>
      </w:r>
    </w:p>
    <w:p w:rsidR="00000000" w:rsidDel="00000000" w:rsidP="00000000" w:rsidRDefault="00000000" w:rsidRPr="00000000" w14:paraId="000000C3">
      <w:pPr>
        <w:spacing w:line="360" w:lineRule="auto"/>
        <w:jc w:val="both"/>
        <w:rPr>
          <w:color w:val="222222"/>
          <w:highlight w:val="white"/>
        </w:rPr>
      </w:pPr>
      <w:r w:rsidDel="00000000" w:rsidR="00000000" w:rsidRPr="00000000">
        <w:rPr>
          <w:color w:val="222222"/>
          <w:highlight w:val="white"/>
          <w:rtl w:val="0"/>
        </w:rPr>
        <w:t xml:space="preserve">C. Los participantes de la plataforma comprenden cada lado de una plataforma. Su participación puede ser tan simple como usar la plataforma para encontrar otros participantes, o tan involucrada como crear servicios de plataforma que permitan a los participantes conectarse de nuevas maneras y permitir que nuevos participantes se unan a la plataforma.</w:t>
      </w:r>
    </w:p>
    <w:p w:rsidR="00000000" w:rsidDel="00000000" w:rsidP="00000000" w:rsidRDefault="00000000" w:rsidRPr="00000000" w14:paraId="000000C4">
      <w:pPr>
        <w:spacing w:line="360" w:lineRule="auto"/>
        <w:jc w:val="both"/>
        <w:rPr>
          <w:color w:val="222222"/>
          <w:highlight w:val="white"/>
        </w:rPr>
      </w:pPr>
      <w:r w:rsidDel="00000000" w:rsidR="00000000" w:rsidRPr="00000000">
        <w:rPr>
          <w:color w:val="222222"/>
          <w:highlight w:val="white"/>
          <w:rtl w:val="0"/>
        </w:rPr>
        <w:t xml:space="preserve">D. Los efectos de red ocurren cuando los participantes de la plataforma contribuyen al valor de la plataforma para otros participantes y el operador. El valor para los grupos de participantes de un lado puede depender del número de participantes del mismo lado (efectos de red directos) o del otro lado (efectos de red indirectos).*75 Los efectos de red pueden crear una tendencia hacia la concentración. en industrias de plataformas. Los efectos de red indirectos pueden ser asimétricos y heterogéneos; por ejemplo, un lado del mercado o segmento de participantes puede otorgar un valor relativamente mayor al otro lado.</w:t>
      </w:r>
    </w:p>
    <w:p w:rsidR="00000000" w:rsidDel="00000000" w:rsidP="00000000" w:rsidRDefault="00000000" w:rsidRPr="00000000" w14:paraId="000000C5">
      <w:pPr>
        <w:spacing w:line="360" w:lineRule="auto"/>
        <w:jc w:val="both"/>
        <w:rPr>
          <w:color w:val="222222"/>
          <w:highlight w:val="white"/>
        </w:rPr>
      </w:pPr>
      <w:r w:rsidDel="00000000" w:rsidR="00000000" w:rsidRPr="00000000">
        <w:rPr>
          <w:color w:val="222222"/>
          <w:highlight w:val="white"/>
          <w:rtl w:val="0"/>
        </w:rPr>
        <w:t xml:space="preserve">Inicio página 24</w:t>
      </w:r>
    </w:p>
    <w:p w:rsidR="00000000" w:rsidDel="00000000" w:rsidP="00000000" w:rsidRDefault="00000000" w:rsidRPr="00000000" w14:paraId="000000C6">
      <w:pPr>
        <w:spacing w:line="360" w:lineRule="auto"/>
        <w:jc w:val="both"/>
        <w:rPr>
          <w:color w:val="222222"/>
          <w:highlight w:val="white"/>
        </w:rPr>
      </w:pPr>
      <w:r w:rsidDel="00000000" w:rsidR="00000000" w:rsidRPr="00000000">
        <w:rPr>
          <w:color w:val="222222"/>
          <w:highlight w:val="white"/>
          <w:rtl w:val="0"/>
        </w:rPr>
        <w:t xml:space="preserve">E. Puede surgir un conflicto de intereses cuando un operador de plataforma también es participante de la plataforma. El conflicto de intereses surge del interés del operador en explotar la plataforma como foro de competencia y de su interés en ganar competencia en ella.</w:t>
      </w:r>
    </w:p>
    <w:p w:rsidR="00000000" w:rsidDel="00000000" w:rsidP="00000000" w:rsidRDefault="00000000" w:rsidRPr="00000000" w14:paraId="000000C7">
      <w:pPr>
        <w:spacing w:line="360" w:lineRule="auto"/>
        <w:jc w:val="both"/>
        <w:rPr>
          <w:color w:val="222222"/>
          <w:highlight w:val="white"/>
        </w:rPr>
      </w:pPr>
      <w:r w:rsidDel="00000000" w:rsidR="00000000" w:rsidRPr="00000000">
        <w:rPr>
          <w:color w:val="222222"/>
          <w:highlight w:val="white"/>
          <w:rtl w:val="0"/>
        </w:rPr>
        <w:t xml:space="preserve">De conformidad con la protección de la competencia de la Ley Clayton “en cualquier línea de comercio”, las Agencias buscarán prohibir una fusión que perjudique la competencia dentro de un mercado relevante para cualquier producto o servicio ofrecido en una plataforma a cualquier grupo de participantes, es decir, alrededor de un lado de la plataforma (ver Sección III, Definición de Mercado).*76</w:t>
      </w:r>
    </w:p>
    <w:p w:rsidR="00000000" w:rsidDel="00000000" w:rsidP="00000000" w:rsidRDefault="00000000" w:rsidRPr="00000000" w14:paraId="000000C8">
      <w:pPr>
        <w:spacing w:line="360" w:lineRule="auto"/>
        <w:jc w:val="both"/>
        <w:rPr>
          <w:color w:val="222222"/>
          <w:highlight w:val="white"/>
        </w:rPr>
      </w:pPr>
      <w:r w:rsidDel="00000000" w:rsidR="00000000" w:rsidRPr="00000000">
        <w:rPr>
          <w:color w:val="222222"/>
          <w:highlight w:val="white"/>
          <w:rtl w:val="0"/>
        </w:rPr>
        <w:t xml:space="preserve">Las Agencias protegen la competencia entre plataformas impidiendo la adquisición o exclusión de otros operadores de plataformas que puedan disminuir sustancialmente la competencia o tender a crear un monopolio. Este escenario puede surgir de varios tipos de fusiones:</w:t>
      </w:r>
    </w:p>
    <w:p w:rsidR="00000000" w:rsidDel="00000000" w:rsidP="00000000" w:rsidRDefault="00000000" w:rsidRPr="00000000" w14:paraId="000000C9">
      <w:pPr>
        <w:spacing w:line="360" w:lineRule="auto"/>
        <w:jc w:val="both"/>
        <w:rPr>
          <w:color w:val="222222"/>
          <w:highlight w:val="white"/>
        </w:rPr>
      </w:pPr>
      <w:r w:rsidDel="00000000" w:rsidR="00000000" w:rsidRPr="00000000">
        <w:rPr>
          <w:color w:val="222222"/>
          <w:highlight w:val="white"/>
          <w:rtl w:val="0"/>
        </w:rPr>
        <w:t xml:space="preserve">R. Las fusiones que involucran a dos operadores de plataformas eliminan la competencia entre ellos. En un mercado con una plataforma dominante, la entrada o el crecimiento de plataformas competidoras más pequeñas puede ser particularmente desafiante debido a los efectos de red. Una estrategia común para las plataformas más pequeñas es especializarse, proporcionando características distintivas. Por lo tanto, las plataformas dominantes pueden disminuir la competencia y afianzar su posición adquiriendo sistemáticamente plataformas mientras están en su infancia. Las Agencias buscan frenar estas tendencias en sus inicios.</w:t>
      </w:r>
    </w:p>
    <w:p w:rsidR="00000000" w:rsidDel="00000000" w:rsidP="00000000" w:rsidRDefault="00000000" w:rsidRPr="00000000" w14:paraId="000000CA">
      <w:pPr>
        <w:spacing w:line="360" w:lineRule="auto"/>
        <w:jc w:val="both"/>
        <w:rPr>
          <w:color w:val="222222"/>
          <w:highlight w:val="white"/>
        </w:rPr>
      </w:pPr>
      <w:r w:rsidDel="00000000" w:rsidR="00000000" w:rsidRPr="00000000">
        <w:rPr>
          <w:color w:val="222222"/>
          <w:highlight w:val="white"/>
          <w:rtl w:val="0"/>
        </w:rPr>
        <w:t xml:space="preserve">B. Un operador de plataforma puede adquirir un participante de plataforma, lo que puede consolidar la posición del operador al privar a sus rivales de participantes y, a su vez, privarlos de efectos de red. Por ejemplo, adquirir un vendedor importante en una plataforma puede dificultar que las plataformas rivales recluten compradores. Los beneficios a largo plazo para un operador de plataforma al negar los efectos de red a plataformas rivales crean un poderoso incentivo para retener o degradar el acceso de esos rivales a los participantes de la plataforma que adquiere el operador. Cuanto más poderoso sea el operador de la plataforma, mayor será la amenaza a la competencia que representan las fusiones que pueden debilitar a los operadores rivales o aumentar las barreras de entrada y expansión.</w:t>
      </w:r>
    </w:p>
    <w:p w:rsidR="00000000" w:rsidDel="00000000" w:rsidP="00000000" w:rsidRDefault="00000000" w:rsidRPr="00000000" w14:paraId="000000CB">
      <w:pPr>
        <w:spacing w:line="360" w:lineRule="auto"/>
        <w:jc w:val="both"/>
        <w:rPr>
          <w:color w:val="222222"/>
          <w:highlight w:val="white"/>
        </w:rPr>
      </w:pPr>
      <w:r w:rsidDel="00000000" w:rsidR="00000000" w:rsidRPr="00000000">
        <w:rPr>
          <w:color w:val="222222"/>
          <w:highlight w:val="white"/>
          <w:rtl w:val="0"/>
        </w:rPr>
        <w:t xml:space="preserve">C. Las adquisiciones de empresas que brindan servicios que facilitan la participación en múltiples plataformas pueden privar a los rivales de participantes en las plataformas. Muchos servicios pueden facilitar dicha participación, como herramientas que ayudan a los compradores a comparar precios entre plataformas, aplicaciones que ayudan a los vendedores a administrar listados en múltiples plataformas o software que ayuda a los usuarios a cambiar entre plataformas.</w:t>
      </w:r>
    </w:p>
    <w:p w:rsidR="00000000" w:rsidDel="00000000" w:rsidP="00000000" w:rsidRDefault="00000000" w:rsidRPr="00000000" w14:paraId="000000CC">
      <w:pPr>
        <w:spacing w:line="360" w:lineRule="auto"/>
        <w:jc w:val="both"/>
        <w:rPr>
          <w:color w:val="222222"/>
          <w:highlight w:val="white"/>
        </w:rPr>
      </w:pPr>
      <w:r w:rsidDel="00000000" w:rsidR="00000000" w:rsidRPr="00000000">
        <w:rPr>
          <w:color w:val="222222"/>
          <w:highlight w:val="white"/>
          <w:rtl w:val="0"/>
        </w:rPr>
        <w:t xml:space="preserve">D. Las fusiones que involucran a empresas que proporcionan otros insumos importantes a los servicios de plataforma pueden permitir al operador de la plataforma negar a sus rivales los beneficios de esos insumos. Por ejemplo,</w:t>
      </w:r>
    </w:p>
    <w:p w:rsidR="00000000" w:rsidDel="00000000" w:rsidP="00000000" w:rsidRDefault="00000000" w:rsidRPr="00000000" w14:paraId="000000CD">
      <w:pPr>
        <w:spacing w:line="360" w:lineRule="auto"/>
        <w:jc w:val="both"/>
        <w:rPr>
          <w:color w:val="222222"/>
          <w:highlight w:val="white"/>
        </w:rPr>
      </w:pPr>
      <w:r w:rsidDel="00000000" w:rsidR="00000000" w:rsidRPr="00000000">
        <w:rPr>
          <w:color w:val="222222"/>
          <w:highlight w:val="white"/>
          <w:rtl w:val="0"/>
        </w:rPr>
        <w:t xml:space="preserve">Inicio página 25</w:t>
      </w:r>
    </w:p>
    <w:p w:rsidR="00000000" w:rsidDel="00000000" w:rsidP="00000000" w:rsidRDefault="00000000" w:rsidRPr="00000000" w14:paraId="000000CE">
      <w:pPr>
        <w:spacing w:line="360" w:lineRule="auto"/>
        <w:jc w:val="both"/>
        <w:rPr>
          <w:color w:val="222222"/>
          <w:highlight w:val="white"/>
        </w:rPr>
      </w:pPr>
      <w:r w:rsidDel="00000000" w:rsidR="00000000" w:rsidRPr="00000000">
        <w:rPr>
          <w:color w:val="222222"/>
          <w:highlight w:val="white"/>
          <w:rtl w:val="0"/>
        </w:rPr>
        <w:t xml:space="preserve">La adquisición de datos que ayuden a facilitar los servicios de coincidencia, clasificación o predicción puede permitir que la plataforma debilite las plataformas rivales negándoles esos datos.</w:t>
      </w:r>
    </w:p>
    <w:p w:rsidR="00000000" w:rsidDel="00000000" w:rsidP="00000000" w:rsidRDefault="00000000" w:rsidRPr="00000000" w14:paraId="000000CF">
      <w:pPr>
        <w:spacing w:line="360" w:lineRule="auto"/>
        <w:jc w:val="both"/>
        <w:rPr>
          <w:color w:val="222222"/>
          <w:highlight w:val="white"/>
        </w:rPr>
      </w:pPr>
      <w:r w:rsidDel="00000000" w:rsidR="00000000" w:rsidRPr="00000000">
        <w:rPr>
          <w:color w:val="222222"/>
          <w:highlight w:val="white"/>
          <w:rtl w:val="0"/>
        </w:rPr>
        <w:t xml:space="preserve">Las Agencias protegen la competencia en una plataforma en cualquier mercado que interactúe con la plataforma. Cuando una fusión involucra a un operador de plataforma y a participantes de una plataforma, las Agencias examinan cuidadosamente si la fusión crearía conflictos de intereses que perjudicarían la competencia. Un operador de plataforma que también es participante de la plataforma tiene un conflicto de intereses debido al incentivo de dar a sus propios productos y servicios una ventaja frente a otros competidores que participan en la plataforma, perjudicando la competencia en el mercado de productos para ese producto o servicio. Este problema se exacerba cuando la discriminación a favor de un producto o servicio reduce el acceso a la distribución de los rivales en el mercado de los participantes y priva a los rivales de efectos de red en el mercado de plataformas, ampliando y afianzando una posición dominante.</w:t>
      </w:r>
    </w:p>
    <w:p w:rsidR="00000000" w:rsidDel="00000000" w:rsidP="00000000" w:rsidRDefault="00000000" w:rsidRPr="00000000" w14:paraId="000000D0">
      <w:pPr>
        <w:spacing w:line="360" w:lineRule="auto"/>
        <w:jc w:val="both"/>
        <w:rPr>
          <w:color w:val="222222"/>
          <w:highlight w:val="white"/>
        </w:rPr>
      </w:pPr>
      <w:r w:rsidDel="00000000" w:rsidR="00000000" w:rsidRPr="00000000">
        <w:rPr>
          <w:color w:val="222222"/>
          <w:highlight w:val="white"/>
          <w:rtl w:val="0"/>
        </w:rPr>
        <w:t xml:space="preserve">Las Agencias protegen la competencia para desplazar la plataforma o cualquiera de sus servicios. Por ejemplo, las nuevas tecnologías o servicios pueden crear una oportunidad importante para que las empresas reemplacen uno o más servicios que proporciona el operador de plataforma existente, haciendo que algunos participantes satisfagan parcial o totalmente sus necesidades de diferentes maneras o a través de diferentes canales. De manera similar, un servicio fuera de la plataforma puede reducir la dependencia de la plataforma al proporcionar una alternativa a una o más funciones proporcionadas por los operadores de la plataforma. Cuando los propietarios de plataformas son dominantes, las Agencias buscan evitar que incluso aumentos de poder relativamente pequeños inhiban las perspectivas de desplazar la plataforma o de disminuir la dependencia de la plataforma.</w:t>
      </w:r>
    </w:p>
    <w:p w:rsidR="00000000" w:rsidDel="00000000" w:rsidP="00000000" w:rsidRDefault="00000000" w:rsidRPr="00000000" w14:paraId="000000D1">
      <w:pPr>
        <w:spacing w:line="360" w:lineRule="auto"/>
        <w:jc w:val="both"/>
        <w:rPr>
          <w:color w:val="222222"/>
          <w:highlight w:val="white"/>
        </w:rPr>
      </w:pPr>
      <w:r w:rsidDel="00000000" w:rsidR="00000000" w:rsidRPr="00000000">
        <w:rPr>
          <w:color w:val="222222"/>
          <w:highlight w:val="white"/>
          <w:rtl w:val="0"/>
        </w:rPr>
        <w:t xml:space="preserve">ll.Cuando una fusión involucra a compradores competidores, las agencias examinan si puede reducir sustancialmente la competencia para los trabajadores u otros vendedores.</w:t>
      </w:r>
    </w:p>
    <w:p w:rsidR="00000000" w:rsidDel="00000000" w:rsidP="00000000" w:rsidRDefault="00000000" w:rsidRPr="00000000" w14:paraId="000000D2">
      <w:pPr>
        <w:spacing w:line="360" w:lineRule="auto"/>
        <w:jc w:val="both"/>
        <w:rPr>
          <w:color w:val="222222"/>
          <w:highlight w:val="white"/>
        </w:rPr>
      </w:pPr>
      <w:r w:rsidDel="00000000" w:rsidR="00000000" w:rsidRPr="00000000">
        <w:rPr>
          <w:color w:val="222222"/>
          <w:highlight w:val="white"/>
          <w:rtl w:val="0"/>
        </w:rPr>
        <w:t xml:space="preserve">Una fusión entre compradores competidores puede perjudicar a los vendedores del mismo modo que una fusión entre vendedores competidores puede perjudicar a los compradores.*77 Las mismas herramientas (o análogas) utilizadas para evaluar los efectos de una fusión de vendedores pueden utilizarse para analizar los efectos de una fusión de compradores. , incluidos los empleadores como compradores de mano de obra. Una fusión de compradores competidores puede reducir sustancialmente la competencia al eliminarla entre los compradores fusionados o al aumentar la coordinación entre los compradores restantes. También puede conducir a una concentración indebida entre los compradores, acelerar una tendencia hacia la concentración indebida o afianzar o ampliar la posición de un comprador dominante. La competencia entre compradores puede tener diversos efectos beneficiosos análogos a los de la competencia entre vendedores. Por ejemplo, los compradores pueden competir ampliando las redes de suministro, mediante prácticas de contratación, adquisiciones y pagos transparentes y predecibles, o invirtiendo en tecnología que reduzca las fricciones para los proveedores. Por el contrario, una reducción de la competencia entre compradores puede llevar a una supresión artificial de los precios de los insumos o del volumen de compra, lo que a su vez reduce los incentivos para que los proveedores inviertan en capacidad o innovación. El nivel de concentración en el que surgen problemas de competencia puede ser menor en los mercados de compradores que en los de vendedores, dadas las características únicas de ciertos mercados de compradores.</w:t>
      </w:r>
    </w:p>
    <w:p w:rsidR="00000000" w:rsidDel="00000000" w:rsidP="00000000" w:rsidRDefault="00000000" w:rsidRPr="00000000" w14:paraId="000000D3">
      <w:pPr>
        <w:spacing w:line="360" w:lineRule="auto"/>
        <w:jc w:val="both"/>
        <w:rPr>
          <w:color w:val="222222"/>
          <w:highlight w:val="white"/>
        </w:rPr>
      </w:pPr>
      <w:r w:rsidDel="00000000" w:rsidR="00000000" w:rsidRPr="00000000">
        <w:rPr>
          <w:color w:val="222222"/>
          <w:highlight w:val="white"/>
          <w:rtl w:val="0"/>
        </w:rPr>
        <w:t xml:space="preserve">Inicio página 26</w:t>
      </w:r>
    </w:p>
    <w:p w:rsidR="00000000" w:rsidDel="00000000" w:rsidP="00000000" w:rsidRDefault="00000000" w:rsidRPr="00000000" w14:paraId="000000D4">
      <w:pPr>
        <w:spacing w:line="360" w:lineRule="auto"/>
        <w:jc w:val="both"/>
        <w:rPr>
          <w:color w:val="222222"/>
          <w:highlight w:val="white"/>
        </w:rPr>
      </w:pPr>
      <w:r w:rsidDel="00000000" w:rsidR="00000000" w:rsidRPr="00000000">
        <w:rPr>
          <w:color w:val="222222"/>
          <w:highlight w:val="white"/>
          <w:rtl w:val="0"/>
        </w:rPr>
        <w:t xml:space="preserve">Los mercados laborales son importantes mercados de compradores. Las mismas preocupaciones generales que en otros mercados se aplican a los mercados laborales donde los empleadores son los compradores de mano de obra y los trabajadores son los vendedores. Las Agencias considerarán si los trabajadores enfrentan el riesgo de que la fusión pueda disminuir sustancialmente la competencia por su mano de obra.*78 Cuando una fusión entre empleadores puede disminuir sustancialmente la competencia por los trabajadores, esa reducción en la competencia en el mercado laboral puede reducir los salarios o desacelerar el crecimiento salarial, empeorar los beneficios. o condiciones de trabajo, o dar lugar a otras degradaciones de la calidad del lugar de trabajo. Al evaluar el grado en que las empresas que se fusionan compiten por la mano de obra, uno o más de estos efectos pueden demostrar que existe una competencia sustancial entre las empresas que se fusionan.</w:t>
      </w:r>
    </w:p>
    <w:p w:rsidR="00000000" w:rsidDel="00000000" w:rsidP="00000000" w:rsidRDefault="00000000" w:rsidRPr="00000000" w14:paraId="000000D5">
      <w:pPr>
        <w:spacing w:line="360" w:lineRule="auto"/>
        <w:jc w:val="both"/>
        <w:rPr>
          <w:color w:val="222222"/>
          <w:highlight w:val="white"/>
        </w:rPr>
      </w:pPr>
      <w:r w:rsidDel="00000000" w:rsidR="00000000" w:rsidRPr="00000000">
        <w:rPr>
          <w:color w:val="222222"/>
          <w:highlight w:val="white"/>
          <w:rtl w:val="0"/>
        </w:rPr>
        <w:t xml:space="preserve">Los mercados laborales frecuentemente tienen características que pueden exacerbar los efectos competitivos de una fusión entre empleadores competidores. Por ejemplo, los mercados laborales a menudo presentan altos costos de cambio y fricciones de búsqueda debido al proceso de encontrar, postular, entrevistar y aclimatarse a un nuevo trabajo. Los costos de cambio también pueden surgir de inversiones específicas para un tipo de trabajo o una ubicación geográfica particular. Además, las necesidades individuales de los trabajadores pueden limitar el alcance geográfico y laboral de los empleos que son sustitutos competitivos.</w:t>
      </w:r>
    </w:p>
    <w:p w:rsidR="00000000" w:rsidDel="00000000" w:rsidP="00000000" w:rsidRDefault="00000000" w:rsidRPr="00000000" w14:paraId="000000D6">
      <w:pPr>
        <w:spacing w:line="360" w:lineRule="auto"/>
        <w:jc w:val="both"/>
        <w:rPr>
          <w:color w:val="222222"/>
          <w:highlight w:val="white"/>
        </w:rPr>
      </w:pPr>
      <w:r w:rsidDel="00000000" w:rsidR="00000000" w:rsidRPr="00000000">
        <w:rPr>
          <w:color w:val="222222"/>
          <w:highlight w:val="white"/>
          <w:rtl w:val="0"/>
        </w:rPr>
        <w:t xml:space="preserve">Además, para encontrar un empleo es necesario que el trabajador y el empleador acuerden la igualación. Incluso dentro de un salario y un rango de habilidades determinados, los empleadores a menudo tienen demandas específicas de experiencia, habilidades, disponibilidad y otros atributos que desean en sus empleados. Al mismo tiempo, los trabajadores pueden buscar no sólo un sueldo sino también un trabajo que valoran en un lugar de trabajo que coincida con sus propias preferencias, ya que diferentes trabajadores pueden valorar los mismos aspectos de un trabajo de manera diferente. Este proceso de emparejamiento a menudo reduce la gama de rivales que compiten por un empleado determinado.</w:t>
      </w:r>
    </w:p>
    <w:p w:rsidR="00000000" w:rsidDel="00000000" w:rsidP="00000000" w:rsidRDefault="00000000" w:rsidRPr="00000000" w14:paraId="000000D7">
      <w:pPr>
        <w:spacing w:line="360" w:lineRule="auto"/>
        <w:jc w:val="both"/>
        <w:rPr>
          <w:color w:val="222222"/>
          <w:highlight w:val="white"/>
        </w:rPr>
      </w:pPr>
      <w:r w:rsidDel="00000000" w:rsidR="00000000" w:rsidRPr="00000000">
        <w:rPr>
          <w:color w:val="222222"/>
          <w:highlight w:val="white"/>
          <w:rtl w:val="0"/>
        </w:rPr>
        <w:t xml:space="preserve">A la luz de sus características, los mercados laborales suelen ser relativamente estrechos.</w:t>
      </w:r>
    </w:p>
    <w:p w:rsidR="00000000" w:rsidDel="00000000" w:rsidP="00000000" w:rsidRDefault="00000000" w:rsidRPr="00000000" w14:paraId="000000D8">
      <w:pPr>
        <w:spacing w:line="360" w:lineRule="auto"/>
        <w:jc w:val="both"/>
        <w:rPr>
          <w:color w:val="222222"/>
          <w:highlight w:val="white"/>
        </w:rPr>
      </w:pPr>
      <w:r w:rsidDel="00000000" w:rsidR="00000000" w:rsidRPr="00000000">
        <w:rPr>
          <w:color w:val="222222"/>
          <w:highlight w:val="white"/>
          <w:rtl w:val="0"/>
        </w:rPr>
        <w:t xml:space="preserve">En algunos casos, las características de los mercados laborales pueden colocar a las empresas en posiciones dominantes. Para evaluar este dominio en los mercados laborales (ver Directriz 7), las Agencias a menudo examinan el poder de las empresas que se fusionan para recortar o congelar salarios, ejercer una mayor influencia en las negociaciones con los trabajadores o, en general, degradar los beneficios y las condiciones laborales sin incitar a los trabajadores a renunciar.</w:t>
      </w:r>
    </w:p>
    <w:p w:rsidR="00000000" w:rsidDel="00000000" w:rsidP="00000000" w:rsidRDefault="00000000" w:rsidRPr="00000000" w14:paraId="000000D9">
      <w:pPr>
        <w:spacing w:line="360" w:lineRule="auto"/>
        <w:jc w:val="both"/>
        <w:rPr>
          <w:color w:val="222222"/>
          <w:highlight w:val="white"/>
        </w:rPr>
      </w:pPr>
      <w:r w:rsidDel="00000000" w:rsidR="00000000" w:rsidRPr="00000000">
        <w:rPr>
          <w:color w:val="222222"/>
          <w:highlight w:val="white"/>
          <w:rtl w:val="0"/>
        </w:rPr>
        <w:t xml:space="preserve">Si la fusión puede reducir sustancialmente la competencia o tender a crear un monopolio en los mercados ascendentes, esa pérdida de competencia no se compensa con supuestos beneficios en un mercado de productos descendente separado. Debido a que la Ley Clayton prohíbe fusiones que puedan disminuir sustancialmente la competencia o tender a crear un monopolio en cualquier línea de comercio y en cualquier sección del país, el daño que una fusión causa a la competencia entre compradores no se salva con beneficios para la competencia entre vendedores.*79 Eso es decir, una fusión puede reducir sustancialmente la competencia en uno o</w:t>
      </w:r>
    </w:p>
    <w:p w:rsidR="00000000" w:rsidDel="00000000" w:rsidP="00000000" w:rsidRDefault="00000000" w:rsidRPr="00000000" w14:paraId="000000DA">
      <w:pPr>
        <w:spacing w:line="360" w:lineRule="auto"/>
        <w:jc w:val="both"/>
        <w:rPr>
          <w:color w:val="222222"/>
          <w:highlight w:val="white"/>
        </w:rPr>
      </w:pPr>
      <w:r w:rsidDel="00000000" w:rsidR="00000000" w:rsidRPr="00000000">
        <w:rPr>
          <w:color w:val="222222"/>
          <w:highlight w:val="white"/>
          <w:rtl w:val="0"/>
        </w:rPr>
        <w:t xml:space="preserve">Inicio página 27</w:t>
      </w:r>
    </w:p>
    <w:p w:rsidR="00000000" w:rsidDel="00000000" w:rsidP="00000000" w:rsidRDefault="00000000" w:rsidRPr="00000000" w14:paraId="000000DB">
      <w:pPr>
        <w:spacing w:line="360" w:lineRule="auto"/>
        <w:jc w:val="both"/>
        <w:rPr>
          <w:color w:val="222222"/>
          <w:highlight w:val="white"/>
        </w:rPr>
      </w:pPr>
      <w:r w:rsidDel="00000000" w:rsidR="00000000" w:rsidRPr="00000000">
        <w:rPr>
          <w:color w:val="222222"/>
          <w:highlight w:val="white"/>
          <w:rtl w:val="0"/>
        </w:rPr>
        <w:t xml:space="preserve">más mercados de compradores, mercados de vendedores, o ambos, y la Ley Clayton protege la competencia en cualquiera de ellos.</w:t>
      </w:r>
    </w:p>
    <w:p w:rsidR="00000000" w:rsidDel="00000000" w:rsidP="00000000" w:rsidRDefault="00000000" w:rsidRPr="00000000" w14:paraId="000000DC">
      <w:pPr>
        <w:spacing w:line="360" w:lineRule="auto"/>
        <w:jc w:val="both"/>
        <w:rPr>
          <w:color w:val="222222"/>
          <w:highlight w:val="white"/>
        </w:rPr>
      </w:pPr>
      <w:r w:rsidDel="00000000" w:rsidR="00000000" w:rsidRPr="00000000">
        <w:rPr>
          <w:color w:val="222222"/>
          <w:highlight w:val="white"/>
          <w:rtl w:val="0"/>
        </w:rPr>
        <w:t xml:space="preserve">Al igual que lo hacen cuando analizan la competencia en los mercados de productos y servicios, las Agencias analizarán la competencia en el mercado laboral caso por caso.</w:t>
      </w:r>
    </w:p>
    <w:p w:rsidR="00000000" w:rsidDel="00000000" w:rsidP="00000000" w:rsidRDefault="00000000" w:rsidRPr="00000000" w14:paraId="000000DD">
      <w:pPr>
        <w:spacing w:line="360" w:lineRule="auto"/>
        <w:jc w:val="both"/>
        <w:rPr>
          <w:color w:val="222222"/>
          <w:highlight w:val="white"/>
        </w:rPr>
      </w:pPr>
      <w:r w:rsidDel="00000000" w:rsidR="00000000" w:rsidRPr="00000000">
        <w:rPr>
          <w:color w:val="222222"/>
          <w:highlight w:val="white"/>
          <w:rtl w:val="0"/>
        </w:rPr>
        <w:t xml:space="preserve">12. Cuando una Adquisición Involucra Propiedad Parcial o Intereses Minoritarios, las Agencias Examinan su Impacto en la Competencia.</w:t>
      </w:r>
    </w:p>
    <w:p w:rsidR="00000000" w:rsidDel="00000000" w:rsidP="00000000" w:rsidRDefault="00000000" w:rsidRPr="00000000" w14:paraId="000000DE">
      <w:pPr>
        <w:spacing w:line="360" w:lineRule="auto"/>
        <w:jc w:val="both"/>
        <w:rPr>
          <w:color w:val="222222"/>
          <w:highlight w:val="white"/>
        </w:rPr>
      </w:pPr>
      <w:r w:rsidDel="00000000" w:rsidR="00000000" w:rsidRPr="00000000">
        <w:rPr>
          <w:color w:val="222222"/>
          <w:highlight w:val="white"/>
          <w:rtl w:val="0"/>
        </w:rPr>
        <w:t xml:space="preserve">En muchas adquisiciones, dos empresas quedan bajo control común. Sin embargo, en algunas situaciones, la adquisición de un control parcial aún puede influir en la toma de decisiones en la empresa objetivo o en otra empresa de maneras que pueden reducir sustancialmente la competencia. Las adquisiciones de propiedad parcial u otros intereses minoritarios pueden otorgar al inversionista derechos en la empresa objetivo, como derechos para nombrar miembros de la junta directiva, observar las reuniones de la junta directiva, vetar la capacidad de la empresa para recaudar capital, o influir en las decisiones operativas, o acceso a información competitivamente sensible. Las Agencias tienen preocupaciones tanto con la propiedad cruzada, que se refiere a tener una participación no controladora en un competidor, como con la propiedad común, que ocurre cuando inversionistas individuales tienen participaciones no controladoras en empresas que tienen una relación competitiva que podría verse afectada. por dichas participaciones conjuntas.</w:t>
      </w:r>
    </w:p>
    <w:p w:rsidR="00000000" w:rsidDel="00000000" w:rsidP="00000000" w:rsidRDefault="00000000" w:rsidRPr="00000000" w14:paraId="000000DF">
      <w:pPr>
        <w:spacing w:line="360" w:lineRule="auto"/>
        <w:jc w:val="both"/>
        <w:rPr>
          <w:color w:val="222222"/>
          <w:highlight w:val="white"/>
        </w:rPr>
      </w:pPr>
      <w:r w:rsidDel="00000000" w:rsidR="00000000" w:rsidRPr="00000000">
        <w:rPr>
          <w:color w:val="222222"/>
          <w:highlight w:val="white"/>
          <w:rtl w:val="0"/>
        </w:rPr>
        <w:t xml:space="preserve">Sin embargo, las adquisiciones parciales que no dan como resultado el control pueden presentar importantes preocupaciones competitivas. La adquisición de una posición minoritaria puede permitir la influencia de la empresa objetivo, implicar decisiones estratégicas del adquirente con respecto a su inversión en otras empresas o cambiar incentivos para frenar la competencia. La relación posterior a la adquisición entre las partes y los incentivos independientes de las partes fuera de la adquisición pueden ser importantes para determinar si la adquisición parcial puede reducir sustancialmente la competencia. Dichas adquisiciones parciales están sujetas al mismo estándar legal que cualquier otra adquisición.*80</w:t>
      </w:r>
    </w:p>
    <w:p w:rsidR="00000000" w:rsidDel="00000000" w:rsidP="00000000" w:rsidRDefault="00000000" w:rsidRPr="00000000" w14:paraId="000000E0">
      <w:pPr>
        <w:spacing w:line="360" w:lineRule="auto"/>
        <w:jc w:val="both"/>
        <w:rPr>
          <w:color w:val="222222"/>
          <w:highlight w:val="white"/>
        </w:rPr>
      </w:pPr>
      <w:r w:rsidDel="00000000" w:rsidR="00000000" w:rsidRPr="00000000">
        <w:rPr>
          <w:color w:val="222222"/>
          <w:highlight w:val="white"/>
          <w:rtl w:val="0"/>
        </w:rPr>
        <w:t xml:space="preserve">Si bien las Agencias considerarán cualquier forma en que una adquisición parcial pueda afectar la competencia, generalmente se centran en tres efectos principales:</w:t>
      </w:r>
    </w:p>
    <w:p w:rsidR="00000000" w:rsidDel="00000000" w:rsidP="00000000" w:rsidRDefault="00000000" w:rsidRPr="00000000" w14:paraId="000000E1">
      <w:pPr>
        <w:spacing w:line="360" w:lineRule="auto"/>
        <w:jc w:val="both"/>
        <w:rPr>
          <w:color w:val="222222"/>
          <w:highlight w:val="white"/>
        </w:rPr>
      </w:pPr>
      <w:r w:rsidDel="00000000" w:rsidR="00000000" w:rsidRPr="00000000">
        <w:rPr>
          <w:color w:val="222222"/>
          <w:highlight w:val="white"/>
          <w:rtl w:val="0"/>
        </w:rPr>
        <w:t xml:space="preserve">En primer lugar, una adquisición parcial puede reducir la competencia al darle al propietario parcial la capacidad de influir en la conducta competitiva de la empresa objetivo.*81 Por ejemplo, un interés con derecho a voto en la empresa objetivo o derechos de gobierno específicos, como el derecho a nombrar miembros para la junta directiva, influir en los presupuestos de capital, determinar los umbrales de rendimiento de las inversiones o seleccionar administradores concretos, pueden crear dicha influencia. Además, un interés sin derecho de voto puede, en algunos casos, brindar oportunidades para prevenir, retrasar o desalentar iniciativas competitivas importantes, o afectar de otro modo la toma de decisiones competitivas. Tal influencia puede disminuir la competencia porque el propietario parcial podría utilizar su influencia para inducir a la empresa objetivo a competir menos agresivamente o coordinar su conducta con la de la empresa adquirente.</w:t>
      </w:r>
    </w:p>
    <w:p w:rsidR="00000000" w:rsidDel="00000000" w:rsidP="00000000" w:rsidRDefault="00000000" w:rsidRPr="00000000" w14:paraId="000000E2">
      <w:pPr>
        <w:spacing w:line="360" w:lineRule="auto"/>
        <w:jc w:val="both"/>
        <w:rPr>
          <w:color w:val="222222"/>
          <w:highlight w:val="white"/>
        </w:rPr>
      </w:pPr>
      <w:r w:rsidDel="00000000" w:rsidR="00000000" w:rsidRPr="00000000">
        <w:rPr>
          <w:color w:val="222222"/>
          <w:highlight w:val="white"/>
          <w:rtl w:val="0"/>
        </w:rPr>
        <w:t xml:space="preserve">Inicio página 28</w:t>
      </w:r>
    </w:p>
    <w:p w:rsidR="00000000" w:rsidDel="00000000" w:rsidP="00000000" w:rsidRDefault="00000000" w:rsidRPr="00000000" w14:paraId="000000E3">
      <w:pPr>
        <w:spacing w:line="360" w:lineRule="auto"/>
        <w:jc w:val="both"/>
        <w:rPr>
          <w:color w:val="222222"/>
          <w:highlight w:val="white"/>
        </w:rPr>
      </w:pPr>
      <w:r w:rsidDel="00000000" w:rsidR="00000000" w:rsidRPr="00000000">
        <w:rPr>
          <w:color w:val="222222"/>
          <w:highlight w:val="white"/>
          <w:rtl w:val="0"/>
        </w:rPr>
        <w:t xml:space="preserve">En segundo lugar, una adquisición parcial puede disminuir la competencia al reducir el incentivo de la empresa adquirente para competir.*82 Adquirir una posición minoritaria en un rival podría mitigar el incentivo del propietario parcial para competir agresivamente porque puede obtener ganancias a través de dividendos u otra participación en los ingresos incluso cuando pierde negocios frente al rival. Por ejemplo, el propietario parcial puede decidir no desarrollar una nueva característica del producto para ganar participación de mercado de la empresa en la que ha adquirido una participación, porque hacerlo reducirá el valor de su inversión en su rival. Esta reducción en el incentivo de la empresa adquirente para competir surge incluso cuando no puede influir directamente en la conducta o la toma de decisiones de la empresa objetivo.</w:t>
      </w:r>
    </w:p>
    <w:p w:rsidR="00000000" w:rsidDel="00000000" w:rsidP="00000000" w:rsidRDefault="00000000" w:rsidRPr="00000000" w14:paraId="000000E4">
      <w:pPr>
        <w:spacing w:line="360" w:lineRule="auto"/>
        <w:jc w:val="both"/>
        <w:rPr>
          <w:color w:val="222222"/>
          <w:highlight w:val="white"/>
        </w:rPr>
      </w:pPr>
      <w:r w:rsidDel="00000000" w:rsidR="00000000" w:rsidRPr="00000000">
        <w:rPr>
          <w:color w:val="222222"/>
          <w:highlight w:val="white"/>
          <w:rtl w:val="0"/>
        </w:rPr>
        <w:t xml:space="preserve">En tercer lugar, una adquisición parcial puede reducir la competencia al dar a la empresa adquirente acceso a información no pública y sensible desde el punto de vista competitivo de la empresa objetivo. Incluso en ausencia de cualquier capacidad para influir en la conducta de la empresa objetivo, el acceso a información competitivamente sensible puede reducir sustancialmente la competencia a través de otros mecanismos. Por ejemplo, puede mejorar la capacidad del objetivo y del propietario parcial para coordinar su comportamiento y realizar otras respuestas de acomodación más rápidas y específicas. El riesgo de efectos coordinados es mayor si la transacción también facilita el flujo de información competitivamente sensible del inversionista a la empresa objetivo. Incluso si no se produce coordinación, el propietario parcial puede utilizar esa información para adelantarse o apropiarse de las estrategias comerciales competitivas de un rival para su propio beneficio. Si los rivales saben que sus esfuerzos por ganar socios comerciales pueden ser aprovechados de inmediato, es posible que, en primer lugar, vean menos valor en tomar acciones competitivas, lo que resultará en una disminución de la competencia.</w:t>
      </w:r>
    </w:p>
    <w:p w:rsidR="00000000" w:rsidDel="00000000" w:rsidP="00000000" w:rsidRDefault="00000000" w:rsidRPr="00000000" w14:paraId="000000E5">
      <w:pPr>
        <w:spacing w:line="360" w:lineRule="auto"/>
        <w:jc w:val="both"/>
        <w:rPr>
          <w:color w:val="222222"/>
          <w:highlight w:val="white"/>
        </w:rPr>
      </w:pPr>
      <w:r w:rsidDel="00000000" w:rsidR="00000000" w:rsidRPr="00000000">
        <w:rPr>
          <w:color w:val="222222"/>
          <w:highlight w:val="white"/>
          <w:rtl w:val="0"/>
        </w:rPr>
        <w:t xml:space="preserve">13. De lo contrario, las fusiones no deberían reducir sustancialmente la competencia ni tender a crear un monopolio.</w:t>
      </w:r>
    </w:p>
    <w:p w:rsidR="00000000" w:rsidDel="00000000" w:rsidP="00000000" w:rsidRDefault="00000000" w:rsidRPr="00000000" w14:paraId="000000E6">
      <w:pPr>
        <w:spacing w:line="360" w:lineRule="auto"/>
        <w:jc w:val="both"/>
        <w:rPr>
          <w:color w:val="222222"/>
          <w:highlight w:val="white"/>
        </w:rPr>
      </w:pPr>
      <w:r w:rsidDel="00000000" w:rsidR="00000000" w:rsidRPr="00000000">
        <w:rPr>
          <w:color w:val="222222"/>
          <w:highlight w:val="white"/>
          <w:rtl w:val="0"/>
        </w:rPr>
        <w:t xml:space="preserve">Los análisis anteriores abordan escenarios comunes que las Agencias utilizan para evaluar el riesgo de que una fusión pueda disminuir sustancialmente la competencia o tender a crear un monopolio. Sin embargo, no son exhaustivos. En el pasado, las Agencias han encontrado fusiones que reducen la competencia a través de mecanismos no cubiertos anteriormente. Por ejemplo:</w:t>
      </w:r>
    </w:p>
    <w:p w:rsidR="00000000" w:rsidDel="00000000" w:rsidP="00000000" w:rsidRDefault="00000000" w:rsidRPr="00000000" w14:paraId="000000E7">
      <w:pPr>
        <w:spacing w:line="360" w:lineRule="auto"/>
        <w:jc w:val="both"/>
        <w:rPr>
          <w:color w:val="222222"/>
          <w:highlight w:val="white"/>
        </w:rPr>
      </w:pPr>
      <w:r w:rsidDel="00000000" w:rsidR="00000000" w:rsidRPr="00000000">
        <w:rPr>
          <w:color w:val="222222"/>
          <w:highlight w:val="white"/>
          <w:rtl w:val="0"/>
        </w:rPr>
        <w:t xml:space="preserve">A. Una fusión que permitiría a las empresas evitar una restricción regulatoria porque esa restricción era aplicable sólo a una de las empresas fusionadas;</w:t>
      </w:r>
    </w:p>
    <w:p w:rsidR="00000000" w:rsidDel="00000000" w:rsidP="00000000" w:rsidRDefault="00000000" w:rsidRPr="00000000" w14:paraId="000000E8">
      <w:pPr>
        <w:spacing w:line="360" w:lineRule="auto"/>
        <w:jc w:val="both"/>
        <w:rPr>
          <w:color w:val="222222"/>
          <w:highlight w:val="white"/>
        </w:rPr>
      </w:pPr>
      <w:r w:rsidDel="00000000" w:rsidR="00000000" w:rsidRPr="00000000">
        <w:rPr>
          <w:color w:val="222222"/>
          <w:highlight w:val="white"/>
          <w:rtl w:val="0"/>
        </w:rPr>
        <w:t xml:space="preserve">B. Una fusión que permitiría a las empresas explotar un proceso de adquisición único que favorece las ofertas de un competidor en particular que sería adquirido en la fusión; o</w:t>
      </w:r>
    </w:p>
    <w:p w:rsidR="00000000" w:rsidDel="00000000" w:rsidP="00000000" w:rsidRDefault="00000000" w:rsidRPr="00000000" w14:paraId="000000E9">
      <w:pPr>
        <w:spacing w:line="360" w:lineRule="auto"/>
        <w:jc w:val="both"/>
        <w:rPr>
          <w:color w:val="222222"/>
          <w:highlight w:val="white"/>
        </w:rPr>
      </w:pPr>
      <w:r w:rsidDel="00000000" w:rsidR="00000000" w:rsidRPr="00000000">
        <w:rPr>
          <w:color w:val="222222"/>
          <w:highlight w:val="white"/>
          <w:rtl w:val="0"/>
        </w:rPr>
        <w:t xml:space="preserve">C. En un mercado concentrado, una fusión que disminuiría el incentivo o la capacidad de la empresa adquirida para competir debido a la estructura de la adquisición o del adquirente.</w:t>
      </w:r>
    </w:p>
    <w:p w:rsidR="00000000" w:rsidDel="00000000" w:rsidP="00000000" w:rsidRDefault="00000000" w:rsidRPr="00000000" w14:paraId="000000EA">
      <w:pPr>
        <w:spacing w:line="360" w:lineRule="auto"/>
        <w:jc w:val="both"/>
        <w:rPr>
          <w:color w:val="222222"/>
          <w:highlight w:val="white"/>
        </w:rPr>
      </w:pPr>
      <w:r w:rsidDel="00000000" w:rsidR="00000000" w:rsidRPr="00000000">
        <w:rPr>
          <w:color w:val="222222"/>
          <w:highlight w:val="white"/>
          <w:rtl w:val="0"/>
        </w:rPr>
        <w:t xml:space="preserve">Como lo indican estos escenarios y estas Directrices, una amplia gama de evidencia puede demostrar que una fusión puede disminuir la competencia o tender a crear un monopolio. Cualesquiera que sean las fuentes de evidencia, las Agencias analizan los hechos y la ley en cada caso.</w:t>
      </w:r>
    </w:p>
    <w:p w:rsidR="00000000" w:rsidDel="00000000" w:rsidP="00000000" w:rsidRDefault="00000000" w:rsidRPr="00000000" w14:paraId="000000EB">
      <w:pPr>
        <w:spacing w:line="360" w:lineRule="auto"/>
        <w:jc w:val="both"/>
        <w:rPr>
          <w:color w:val="222222"/>
          <w:highlight w:val="white"/>
        </w:rPr>
      </w:pPr>
      <w:r w:rsidDel="00000000" w:rsidR="00000000" w:rsidRPr="00000000">
        <w:rPr>
          <w:color w:val="222222"/>
          <w:highlight w:val="white"/>
          <w:rtl w:val="0"/>
        </w:rPr>
        <w:t xml:space="preserve">Inicio página 29</w:t>
      </w:r>
    </w:p>
    <w:p w:rsidR="00000000" w:rsidDel="00000000" w:rsidP="00000000" w:rsidRDefault="00000000" w:rsidRPr="00000000" w14:paraId="000000EC">
      <w:pPr>
        <w:spacing w:line="360" w:lineRule="auto"/>
        <w:jc w:val="both"/>
        <w:rPr>
          <w:color w:val="222222"/>
          <w:highlight w:val="white"/>
        </w:rPr>
      </w:pPr>
      <w:r w:rsidDel="00000000" w:rsidR="00000000" w:rsidRPr="00000000">
        <w:rPr>
          <w:color w:val="222222"/>
          <w:highlight w:val="white"/>
          <w:rtl w:val="0"/>
        </w:rPr>
        <w:t xml:space="preserve">III. Definición de mercado</w:t>
      </w:r>
    </w:p>
    <w:p w:rsidR="00000000" w:rsidDel="00000000" w:rsidP="00000000" w:rsidRDefault="00000000" w:rsidRPr="00000000" w14:paraId="000000ED">
      <w:pPr>
        <w:spacing w:line="360" w:lineRule="auto"/>
        <w:jc w:val="both"/>
        <w:rPr>
          <w:color w:val="222222"/>
          <w:highlight w:val="white"/>
        </w:rPr>
      </w:pPr>
      <w:r w:rsidDel="00000000" w:rsidR="00000000" w:rsidRPr="00000000">
        <w:rPr>
          <w:color w:val="222222"/>
          <w:highlight w:val="white"/>
          <w:rtl w:val="0"/>
        </w:rPr>
        <w:t xml:space="preserve">La Ley Clayton protege la competencia “en cualquier línea de comercio en cualquier sección del país”.*83 Las Agencias identifican el “área de competencia efectiva” en la que la competencia puede reducirse “con referencia a un mercado de productos (la 'línea de comercio'). ') y un mercado geográfico (la 'sección del país')”.*84 Las Agencias se refieren al proceso de identificación de mercados protegidos por la Ley Clayton como un ejercicio de “definición de mercado” y a los mercados así definidos como "mercados antimonopolio relevantes". La definición del mercado también puede permitir a las Agencias identificar a los participantes del mercado y medir las cuotas de mercado y la concentración del mercado.</w:t>
      </w:r>
    </w:p>
    <w:p w:rsidR="00000000" w:rsidDel="00000000" w:rsidP="00000000" w:rsidRDefault="00000000" w:rsidRPr="00000000" w14:paraId="000000EE">
      <w:pPr>
        <w:spacing w:line="360" w:lineRule="auto"/>
        <w:jc w:val="both"/>
        <w:rPr>
          <w:color w:val="222222"/>
          <w:highlight w:val="white"/>
        </w:rPr>
      </w:pPr>
      <w:r w:rsidDel="00000000" w:rsidR="00000000" w:rsidRPr="00000000">
        <w:rPr>
          <w:color w:val="222222"/>
          <w:highlight w:val="white"/>
          <w:rtl w:val="0"/>
        </w:rPr>
        <w:t xml:space="preserve">Un mercado antimonopolio relevante es un área de competencia efectiva que comprende tanto productos (o servicios) como elementos geográficos. Los límites exteriores de un mercado de producto relevante están determinados por la “intercambiabilidad razonable de uso o la elasticidad cruzada de la demanda entre el producto en sí y sus sustitutos”. 85 Sin embargo, dentro de un mercado relevante amplio, la competencia efectiva a menudo ocurre en numerosos mercados más estrechos. mercados relevantes.*86 La definición del mercado garantiza que los mercados antimonopolio sean suficientemente amplios, pero no conduce a un mercado relevante único. La Sección 7 de la Ley Clayton prohíbe cualquier fusión que pueda reducir sustancialmente la competencia “en cualquier línea de comercio” y en “cualquier sección del país” y las Agencias protegen la competencia impugnando una fusión que pueda disminuir la competencia en uno o más mercados relevantes. .</w:t>
      </w:r>
    </w:p>
    <w:p w:rsidR="00000000" w:rsidDel="00000000" w:rsidP="00000000" w:rsidRDefault="00000000" w:rsidRPr="00000000" w14:paraId="000000EF">
      <w:pPr>
        <w:spacing w:line="360" w:lineRule="auto"/>
        <w:jc w:val="both"/>
        <w:rPr>
          <w:color w:val="222222"/>
          <w:highlight w:val="white"/>
        </w:rPr>
      </w:pPr>
      <w:r w:rsidDel="00000000" w:rsidR="00000000" w:rsidRPr="00000000">
        <w:rPr>
          <w:color w:val="222222"/>
          <w:highlight w:val="white"/>
          <w:rtl w:val="0"/>
        </w:rPr>
        <w:t xml:space="preserve">Los participantes del mercado a menudo encuentran una variedad de posibles sustitutos para los productos de las empresas que se fusionan. Sin embargo, un mercado relevante “no puede abarcar significativamente esa gama infinita” de sustitutos.*87 Puede haber competencia efectiva entre un grupo reducido de productos, y la pérdida de esa competencia puede ser perjudicial, convirtiendo al grupo reducido en un mercado relevante, incluso si Las limitaciones competitivas de sustitutos importantes están fuera del grupo. La pérdida tanto de competencia entre el grupo reducido de productos como de los sustitutos importantes fuera de ese grupo puede ser aún más perjudicial, pero eso no impide que el grupo reducido sea un mercado por derecho propio.</w:t>
      </w:r>
    </w:p>
    <w:p w:rsidR="00000000" w:rsidDel="00000000" w:rsidP="00000000" w:rsidRDefault="00000000" w:rsidRPr="00000000" w14:paraId="000000F0">
      <w:pPr>
        <w:spacing w:line="360" w:lineRule="auto"/>
        <w:jc w:val="both"/>
        <w:rPr>
          <w:color w:val="222222"/>
          <w:highlight w:val="white"/>
        </w:rPr>
      </w:pPr>
      <w:r w:rsidDel="00000000" w:rsidR="00000000" w:rsidRPr="00000000">
        <w:rPr>
          <w:color w:val="222222"/>
          <w:highlight w:val="white"/>
          <w:rtl w:val="0"/>
        </w:rPr>
        <w:t xml:space="preserve">Los mercados relevantes no necesitan tener “medidas y límites precisos”*88. Algunos sustitutos pueden estar más cerca y otros más distantes, y definir un mercado necesariamente requiere incluir algunos sustitutos y excluir otros. Definir un mercado relevante a veces requiere un ejercicio de delimitación de las características del producto, como el tamaño, la calidad, las distancias, el segmento de clientes o los precios. Puede haber muchos lugares para trazar esa línea y definir adecuadamente un mercado relevante. Las Agencias reconocen que tales escenarios son comunes y, de hecho, “la confusión parecería inherente a cualquier situación”.</w:t>
      </w:r>
    </w:p>
    <w:p w:rsidR="00000000" w:rsidDel="00000000" w:rsidP="00000000" w:rsidRDefault="00000000" w:rsidRPr="00000000" w14:paraId="000000F1">
      <w:pPr>
        <w:spacing w:line="360" w:lineRule="auto"/>
        <w:jc w:val="both"/>
        <w:rPr>
          <w:color w:val="222222"/>
          <w:highlight w:val="white"/>
        </w:rPr>
      </w:pPr>
      <w:r w:rsidDel="00000000" w:rsidR="00000000" w:rsidRPr="00000000">
        <w:rPr>
          <w:color w:val="222222"/>
          <w:highlight w:val="white"/>
          <w:rtl w:val="0"/>
        </w:rPr>
        <w:t xml:space="preserve">Inicio página 30</w:t>
      </w:r>
    </w:p>
    <w:p w:rsidR="00000000" w:rsidDel="00000000" w:rsidP="00000000" w:rsidRDefault="00000000" w:rsidRPr="00000000" w14:paraId="000000F2">
      <w:pPr>
        <w:spacing w:line="360" w:lineRule="auto"/>
        <w:jc w:val="both"/>
        <w:rPr>
          <w:color w:val="222222"/>
          <w:highlight w:val="white"/>
        </w:rPr>
      </w:pPr>
      <w:r w:rsidDel="00000000" w:rsidR="00000000" w:rsidRPr="00000000">
        <w:rPr>
          <w:color w:val="222222"/>
          <w:highlight w:val="white"/>
          <w:rtl w:val="0"/>
        </w:rPr>
        <w:t xml:space="preserve">intentar delinear el mercado relevante...”. 89 Los participantes del mercado pueden usar el término “mercado” coloquialmente para referirse a un conjunto de productos más amplio o diferente de los que serían necesarios para constituir un mercado antimonopolio válido.</w:t>
      </w:r>
    </w:p>
    <w:p w:rsidR="00000000" w:rsidDel="00000000" w:rsidP="00000000" w:rsidRDefault="00000000" w:rsidRPr="00000000" w14:paraId="000000F3">
      <w:pPr>
        <w:spacing w:line="360" w:lineRule="auto"/>
        <w:jc w:val="both"/>
        <w:rPr>
          <w:color w:val="222222"/>
          <w:highlight w:val="white"/>
        </w:rPr>
      </w:pPr>
      <w:r w:rsidDel="00000000" w:rsidR="00000000" w:rsidRPr="00000000">
        <w:rPr>
          <w:color w:val="222222"/>
          <w:highlight w:val="white"/>
          <w:rtl w:val="0"/>
        </w:rPr>
        <w:t xml:space="preserve">Las Agencias se basan en varias herramientas para demostrar que un mercado es un mercado antimonopolio relevante. Por ejemplo, las Agencias pueden basarse en uno o más de los siguientes para demostrar la validez de un mercado antimonopolio relevante candidato.</w:t>
      </w:r>
    </w:p>
    <w:p w:rsidR="00000000" w:rsidDel="00000000" w:rsidP="00000000" w:rsidRDefault="00000000" w:rsidRPr="00000000" w14:paraId="000000F4">
      <w:pPr>
        <w:spacing w:line="360" w:lineRule="auto"/>
        <w:jc w:val="both"/>
        <w:rPr>
          <w:color w:val="222222"/>
          <w:highlight w:val="white"/>
        </w:rPr>
      </w:pPr>
      <w:r w:rsidDel="00000000" w:rsidR="00000000" w:rsidRPr="00000000">
        <w:rPr>
          <w:color w:val="222222"/>
          <w:highlight w:val="white"/>
          <w:rtl w:val="0"/>
        </w:rPr>
        <w:t xml:space="preserve">A. La evidencia directa de competencia sustancial entre las partes de la fusión puede demostrar que existe un mercado relevante en el cual la fusión puede disminuir sustancialmente la competencia y puede ser suficiente para identificar la línea de comercio y la sección del país afectada por una fusión, incluso si los datos precisos Las medidas y límites del mercado no están especificados. (Ver Directriz 2).</w:t>
      </w:r>
    </w:p>
    <w:p w:rsidR="00000000" w:rsidDel="00000000" w:rsidP="00000000" w:rsidRDefault="00000000" w:rsidRPr="00000000" w14:paraId="000000F5">
      <w:pPr>
        <w:spacing w:line="360" w:lineRule="auto"/>
        <w:jc w:val="both"/>
        <w:rPr>
          <w:color w:val="222222"/>
          <w:highlight w:val="white"/>
        </w:rPr>
      </w:pPr>
      <w:r w:rsidDel="00000000" w:rsidR="00000000" w:rsidRPr="00000000">
        <w:rPr>
          <w:color w:val="222222"/>
          <w:highlight w:val="white"/>
          <w:rtl w:val="0"/>
        </w:rPr>
        <w:t xml:space="preserve">B. La evidencia directa del ejercicio del poder de mercado puede demostrar un mercado relevante en el que existe ese poder. Esta evidencia puede ser valiosa al evaluar el riesgo de que una posición dominante pueda afianzarse, mantenerse o ampliarse, ya que la misma evidencia identifica el poder de mercado y los contornos aproximados del mercado relevante.</w:t>
      </w:r>
    </w:p>
    <w:p w:rsidR="00000000" w:rsidDel="00000000" w:rsidP="00000000" w:rsidRDefault="00000000" w:rsidRPr="00000000" w14:paraId="000000F6">
      <w:pPr>
        <w:spacing w:line="360" w:lineRule="auto"/>
        <w:jc w:val="both"/>
        <w:rPr>
          <w:color w:val="222222"/>
          <w:highlight w:val="white"/>
        </w:rPr>
      </w:pPr>
      <w:r w:rsidDel="00000000" w:rsidR="00000000" w:rsidRPr="00000000">
        <w:rPr>
          <w:color w:val="222222"/>
          <w:highlight w:val="white"/>
          <w:rtl w:val="0"/>
        </w:rPr>
        <w:t xml:space="preserve">C. Un mercado relevante puede identificarse a partir de evidencia sobre las características observadas del mercado (“indicios prácticos”), tales como “el reconocimiento público o de la industria del submercado como una entidad económica separada, las características y usos peculiares del producto, las instalaciones de producción únicas, los clientes distintos”. , precios distintos, sensibilidad a los cambios de precios y proveedores especializados.”*90 Varios indicios prácticos pueden identificar un mercado relevante en diferentes entornos.</w:t>
      </w:r>
    </w:p>
    <w:p w:rsidR="00000000" w:rsidDel="00000000" w:rsidP="00000000" w:rsidRDefault="00000000" w:rsidRPr="00000000" w14:paraId="000000F7">
      <w:pPr>
        <w:spacing w:line="360" w:lineRule="auto"/>
        <w:jc w:val="both"/>
        <w:rPr>
          <w:color w:val="222222"/>
          <w:highlight w:val="white"/>
        </w:rPr>
      </w:pPr>
      <w:r w:rsidDel="00000000" w:rsidR="00000000" w:rsidRPr="00000000">
        <w:rPr>
          <w:color w:val="222222"/>
          <w:highlight w:val="white"/>
          <w:rtl w:val="0"/>
        </w:rPr>
        <w:t xml:space="preserve">D. Otro “método común empleado por los tribunales y las [Agencias]. .es la prueba del monopolista hipotético.”*91 Esta prueba examina si un mercado propuesto es demasiado estrecho al preguntar si un monopolista hipotético sobre este mercado podría empeorar significativamente las condiciones de manera rentable, por ejemplo, aumentando el precio. Se aplica una prueba monopsonista hipotética análoga al considerar el impacto de una fusión en la competencia entre compradores. El Apéndice 3 describe esta prueba con más detalle.</w:t>
      </w:r>
    </w:p>
    <w:p w:rsidR="00000000" w:rsidDel="00000000" w:rsidP="00000000" w:rsidRDefault="00000000" w:rsidRPr="00000000" w14:paraId="000000F8">
      <w:pPr>
        <w:spacing w:line="360" w:lineRule="auto"/>
        <w:jc w:val="both"/>
        <w:rPr>
          <w:color w:val="222222"/>
          <w:highlight w:val="white"/>
        </w:rPr>
      </w:pPr>
      <w:r w:rsidDel="00000000" w:rsidR="00000000" w:rsidRPr="00000000">
        <w:rPr>
          <w:color w:val="222222"/>
          <w:highlight w:val="white"/>
          <w:rtl w:val="0"/>
        </w:rPr>
        <w:t xml:space="preserve">Las Agencias utilizan estas herramientas para definir mercados relevantes porque cada una de ellas aprovecha las realidades comerciales para identificar un área de competencia efectiva.</w:t>
      </w:r>
    </w:p>
    <w:p w:rsidR="00000000" w:rsidDel="00000000" w:rsidP="00000000" w:rsidRDefault="00000000" w:rsidRPr="00000000" w14:paraId="000000F9">
      <w:pPr>
        <w:spacing w:line="360" w:lineRule="auto"/>
        <w:jc w:val="both"/>
        <w:rPr>
          <w:color w:val="222222"/>
          <w:highlight w:val="white"/>
        </w:rPr>
      </w:pPr>
      <w:r w:rsidDel="00000000" w:rsidR="00000000" w:rsidRPr="00000000">
        <w:rPr>
          <w:color w:val="222222"/>
          <w:highlight w:val="white"/>
          <w:rtl w:val="0"/>
        </w:rPr>
        <w:t xml:space="preserve">Inicio página 31</w:t>
      </w:r>
    </w:p>
    <w:p w:rsidR="00000000" w:rsidDel="00000000" w:rsidP="00000000" w:rsidRDefault="00000000" w:rsidRPr="00000000" w14:paraId="000000FA">
      <w:pPr>
        <w:spacing w:line="360" w:lineRule="auto"/>
        <w:jc w:val="both"/>
        <w:rPr>
          <w:color w:val="222222"/>
          <w:highlight w:val="white"/>
        </w:rPr>
      </w:pPr>
      <w:r w:rsidDel="00000000" w:rsidR="00000000" w:rsidRPr="00000000">
        <w:rPr>
          <w:color w:val="222222"/>
          <w:highlight w:val="white"/>
          <w:rtl w:val="0"/>
        </w:rPr>
        <w:t xml:space="preserve">IV. Pruebas de refutación que demuestren que la fusión no amenaza ninguna reducción sustancial de la competencia.</w:t>
      </w:r>
    </w:p>
    <w:p w:rsidR="00000000" w:rsidDel="00000000" w:rsidP="00000000" w:rsidRDefault="00000000" w:rsidRPr="00000000" w14:paraId="000000FB">
      <w:pPr>
        <w:spacing w:line="360" w:lineRule="auto"/>
        <w:jc w:val="both"/>
        <w:rPr>
          <w:color w:val="222222"/>
          <w:highlight w:val="white"/>
        </w:rPr>
      </w:pPr>
      <w:r w:rsidDel="00000000" w:rsidR="00000000" w:rsidRPr="00000000">
        <w:rPr>
          <w:color w:val="222222"/>
          <w:highlight w:val="white"/>
          <w:rtl w:val="0"/>
        </w:rPr>
        <w:t xml:space="preserve">Las Agencias pueden evaluar si una fusión puede reducir sustancialmente la competencia o tender a crear un monopolio basándose en un análisis de hechos específicos conforme a una o más de las Directrices discutidas anteriormente.*92 El precedente de la Corte Suprema también examina si “otros factores pertinentes” presentados por no obstante, las partes que se fusionan “exigen llegar a la conclusión de que la adquisición no amenaza ninguna reducción sustancial de la competencia”*93.</w:t>
      </w:r>
    </w:p>
    <w:p w:rsidR="00000000" w:rsidDel="00000000" w:rsidP="00000000" w:rsidRDefault="00000000" w:rsidRPr="00000000" w14:paraId="000000FC">
      <w:pPr>
        <w:spacing w:line="360" w:lineRule="auto"/>
        <w:jc w:val="both"/>
        <w:rPr>
          <w:color w:val="222222"/>
          <w:highlight w:val="white"/>
        </w:rPr>
      </w:pPr>
      <w:r w:rsidDel="00000000" w:rsidR="00000000" w:rsidRPr="00000000">
        <w:rPr>
          <w:color w:val="222222"/>
          <w:highlight w:val="white"/>
          <w:rtl w:val="0"/>
        </w:rPr>
        <w:t xml:space="preserve">Varios tipos de pruebas de refutación y defensa están sujetos a pruebas legales establecidas por los tribunales. Las Agencias aplican aquellas pruebas de conformidad con la ley vigente, como se describe a continuación.</w:t>
      </w:r>
    </w:p>
    <w:p w:rsidR="00000000" w:rsidDel="00000000" w:rsidP="00000000" w:rsidRDefault="00000000" w:rsidRPr="00000000" w14:paraId="000000FD">
      <w:pPr>
        <w:spacing w:line="360" w:lineRule="auto"/>
        <w:jc w:val="both"/>
        <w:rPr>
          <w:color w:val="222222"/>
          <w:highlight w:val="white"/>
        </w:rPr>
      </w:pPr>
      <w:r w:rsidDel="00000000" w:rsidR="00000000" w:rsidRPr="00000000">
        <w:rPr>
          <w:color w:val="222222"/>
          <w:highlight w:val="white"/>
          <w:rtl w:val="0"/>
        </w:rPr>
        <w:t xml:space="preserve">1. Empresas en quiebra</w:t>
      </w:r>
    </w:p>
    <w:p w:rsidR="00000000" w:rsidDel="00000000" w:rsidP="00000000" w:rsidRDefault="00000000" w:rsidRPr="00000000" w14:paraId="000000FE">
      <w:pPr>
        <w:spacing w:line="360" w:lineRule="auto"/>
        <w:jc w:val="both"/>
        <w:rPr>
          <w:color w:val="222222"/>
          <w:highlight w:val="white"/>
        </w:rPr>
      </w:pPr>
      <w:r w:rsidDel="00000000" w:rsidR="00000000" w:rsidRPr="00000000">
        <w:rPr>
          <w:color w:val="222222"/>
          <w:highlight w:val="white"/>
          <w:rtl w:val="0"/>
        </w:rPr>
        <w:t xml:space="preserve">Cuando las partes que se fusionan sugieren que la posición financiera débil o debilitada de una de las partes impedirá una disminución de la competencia, las Agencias examinan esa evidencia bajo la defensa de “empresa en quiebra” establecida por la Corte Suprema. Esta defensa se aplica cuando los activos a adquirir dejarían inminentemente de desempeñar un papel competitivo en el mercado incluso sin la fusión.</w:t>
      </w:r>
    </w:p>
    <w:p w:rsidR="00000000" w:rsidDel="00000000" w:rsidP="00000000" w:rsidRDefault="00000000" w:rsidRPr="00000000" w14:paraId="000000FF">
      <w:pPr>
        <w:spacing w:line="360" w:lineRule="auto"/>
        <w:jc w:val="both"/>
        <w:rPr>
          <w:color w:val="222222"/>
          <w:highlight w:val="white"/>
        </w:rPr>
      </w:pPr>
      <w:r w:rsidDel="00000000" w:rsidR="00000000" w:rsidRPr="00000000">
        <w:rPr>
          <w:color w:val="222222"/>
          <w:highlight w:val="white"/>
          <w:rtl w:val="0"/>
        </w:rPr>
        <w:t xml:space="preserve">Según lo establecido por el Tribunal Supremo, la defensa de la empresa en quiebra tiene tres requisitos:</w:t>
      </w:r>
    </w:p>
    <w:p w:rsidR="00000000" w:rsidDel="00000000" w:rsidP="00000000" w:rsidRDefault="00000000" w:rsidRPr="00000000" w14:paraId="00000100">
      <w:pPr>
        <w:spacing w:line="360" w:lineRule="auto"/>
        <w:jc w:val="both"/>
        <w:rPr>
          <w:color w:val="222222"/>
          <w:highlight w:val="white"/>
        </w:rPr>
      </w:pPr>
      <w:r w:rsidDel="00000000" w:rsidR="00000000" w:rsidRPr="00000000">
        <w:rPr>
          <w:color w:val="222222"/>
          <w:highlight w:val="white"/>
          <w:rtl w:val="0"/>
        </w:rPr>
        <w:t xml:space="preserve">A. “[L]as pruebas muestran que la [empresa en quiebra] enfrenta la grave probabilidad de un fracaso empresarial.”*94 Las Agencias normalmente buscan pruebas que respalden este elemento de que la empresa supuestamente en quiebra no podrá cumplir sus obligaciones financieras en un futuro próximo. La disminución de las ventas y/o las pérdidas netas, por sí solas, no son suficientes para demostrar este requisito.</w:t>
      </w:r>
    </w:p>
    <w:p w:rsidR="00000000" w:rsidDel="00000000" w:rsidP="00000000" w:rsidRDefault="00000000" w:rsidRPr="00000000" w14:paraId="00000101">
      <w:pPr>
        <w:spacing w:line="360" w:lineRule="auto"/>
        <w:jc w:val="both"/>
        <w:rPr>
          <w:color w:val="222222"/>
          <w:highlight w:val="white"/>
        </w:rPr>
      </w:pPr>
      <w:r w:rsidDel="00000000" w:rsidR="00000000" w:rsidRPr="00000000">
        <w:rPr>
          <w:color w:val="222222"/>
          <w:highlight w:val="white"/>
          <w:rtl w:val="0"/>
        </w:rPr>
        <w:t xml:space="preserve">B. “Las perspectivas de reorganización de [la empresa en quiebra son] escasas o inexistentes.”*95 Las Agencias normalmente buscan evidencia que sugiera que la empresa en quiebra no podría reorganizarse exitosamente bajo el Capítulo 11 de la Ley de Quiebras, teniendo en cuenta que “Las empresas reorganizadas mediante administración judicial o mediante [la Ley de Quiebras] a menudo emergen[] como empresas competitivas fuertes.”*96 La evidencia de los intentos reales de la empresa de resolver su deuda con los acreedores es importante.</w:t>
      </w:r>
    </w:p>
    <w:p w:rsidR="00000000" w:rsidDel="00000000" w:rsidP="00000000" w:rsidRDefault="00000000" w:rsidRPr="00000000" w14:paraId="00000102">
      <w:pPr>
        <w:spacing w:line="360" w:lineRule="auto"/>
        <w:jc w:val="both"/>
        <w:rPr>
          <w:color w:val="222222"/>
          <w:highlight w:val="white"/>
        </w:rPr>
      </w:pPr>
      <w:r w:rsidDel="00000000" w:rsidR="00000000" w:rsidRPr="00000000">
        <w:rPr>
          <w:color w:val="222222"/>
          <w:highlight w:val="white"/>
          <w:rtl w:val="0"/>
        </w:rPr>
        <w:t xml:space="preserve">C. “[L]a empresa que adquiere la [empresa] en quiebra o la somete a dominio es el único comprador disponible”.*97 Las Agencias normalmente buscan pruebas de que una empresa</w:t>
      </w:r>
    </w:p>
    <w:p w:rsidR="00000000" w:rsidDel="00000000" w:rsidP="00000000" w:rsidRDefault="00000000" w:rsidRPr="00000000" w14:paraId="00000103">
      <w:pPr>
        <w:spacing w:line="360" w:lineRule="auto"/>
        <w:jc w:val="both"/>
        <w:rPr>
          <w:color w:val="222222"/>
          <w:highlight w:val="white"/>
        </w:rPr>
      </w:pPr>
      <w:r w:rsidDel="00000000" w:rsidR="00000000" w:rsidRPr="00000000">
        <w:rPr>
          <w:color w:val="222222"/>
          <w:highlight w:val="white"/>
          <w:rtl w:val="0"/>
        </w:rPr>
        <w:t xml:space="preserve">Inicio página 32</w:t>
      </w:r>
    </w:p>
    <w:p w:rsidR="00000000" w:rsidDel="00000000" w:rsidP="00000000" w:rsidRDefault="00000000" w:rsidRPr="00000000" w14:paraId="00000104">
      <w:pPr>
        <w:spacing w:line="360" w:lineRule="auto"/>
        <w:jc w:val="both"/>
        <w:rPr>
          <w:color w:val="222222"/>
          <w:highlight w:val="white"/>
        </w:rPr>
      </w:pPr>
      <w:r w:rsidDel="00000000" w:rsidR="00000000" w:rsidRPr="00000000">
        <w:rPr>
          <w:color w:val="222222"/>
          <w:highlight w:val="white"/>
          <w:rtl w:val="0"/>
        </w:rPr>
        <w:t xml:space="preserve">ha realizado esfuerzos infructuosos de buena fe para obtener ofertas alternativas razonables que representen un peligro menos grave para la competencia que la fusión propuesta.*98</w:t>
      </w:r>
    </w:p>
    <w:p w:rsidR="00000000" w:rsidDel="00000000" w:rsidP="00000000" w:rsidRDefault="00000000" w:rsidRPr="00000000" w14:paraId="00000105">
      <w:pPr>
        <w:spacing w:line="360" w:lineRule="auto"/>
        <w:jc w:val="both"/>
        <w:rPr>
          <w:color w:val="222222"/>
          <w:highlight w:val="white"/>
        </w:rPr>
      </w:pPr>
      <w:r w:rsidDel="00000000" w:rsidR="00000000" w:rsidRPr="00000000">
        <w:rPr>
          <w:color w:val="222222"/>
          <w:highlight w:val="white"/>
          <w:rtl w:val="0"/>
        </w:rPr>
        <w:t xml:space="preserve">Aunque las partes que se fusionan a veces argumentan que una posición deficiente o debilitada debería servir como defensa incluso cuando no cumple con estos elementos, la Corte Suprema ha “confinado la doctrina de la empresa en quiebra a su limitado alcance actual”.*99 Las Agencias evalúan evidencia de una empresa en quiebra consistente con esta ley vigente.*100</w:t>
      </w:r>
    </w:p>
    <w:p w:rsidR="00000000" w:rsidDel="00000000" w:rsidP="00000000" w:rsidRDefault="00000000" w:rsidRPr="00000000" w14:paraId="00000106">
      <w:pPr>
        <w:spacing w:line="360" w:lineRule="auto"/>
        <w:jc w:val="both"/>
        <w:rPr>
          <w:color w:val="222222"/>
          <w:highlight w:val="white"/>
        </w:rPr>
      </w:pPr>
      <w:r w:rsidDel="00000000" w:rsidR="00000000" w:rsidRPr="00000000">
        <w:rPr>
          <w:color w:val="222222"/>
          <w:highlight w:val="white"/>
          <w:rtl w:val="0"/>
        </w:rPr>
        <w:t xml:space="preserve">2. Entrada y Reposicionamiento</w:t>
      </w:r>
    </w:p>
    <w:p w:rsidR="00000000" w:rsidDel="00000000" w:rsidP="00000000" w:rsidRDefault="00000000" w:rsidRPr="00000000" w14:paraId="00000107">
      <w:pPr>
        <w:spacing w:line="360" w:lineRule="auto"/>
        <w:jc w:val="both"/>
        <w:rPr>
          <w:color w:val="222222"/>
          <w:highlight w:val="white"/>
        </w:rPr>
      </w:pPr>
      <w:r w:rsidDel="00000000" w:rsidR="00000000" w:rsidRPr="00000000">
        <w:rPr>
          <w:color w:val="222222"/>
          <w:highlight w:val="white"/>
          <w:rtl w:val="0"/>
        </w:rPr>
        <w:t xml:space="preserve">Las partes en una fusión a veces presentan una refutación alegando que una reducción de la competencia resultante de la fusión induciría la entrada en el mercado relevante, evitando que la fusión reduzca sustancialmente la competencia en primer lugar. Esta afirmación postula que una fusión puede, al reducir sustancialmente la competencia, hacer que el mercado sea más rentable para la empresa fusionada y los competidores restantes, y que esta mayor rentabilidad puede inducir nuevas entradas. Para evaluar esta evidencia de refutación, las Agencias evalúan si la entrada inducida por la fusión sería “oportuna, probable y suficiente en su magnitud, carácter y alcance para disuadir o contrarrestar los efectos competitivos en cuestión”.*101</w:t>
      </w:r>
    </w:p>
    <w:p w:rsidR="00000000" w:rsidDel="00000000" w:rsidP="00000000" w:rsidRDefault="00000000" w:rsidRPr="00000000" w14:paraId="00000108">
      <w:pPr>
        <w:spacing w:line="360" w:lineRule="auto"/>
        <w:jc w:val="both"/>
        <w:rPr>
          <w:color w:val="222222"/>
          <w:highlight w:val="white"/>
        </w:rPr>
      </w:pPr>
      <w:r w:rsidDel="00000000" w:rsidR="00000000" w:rsidRPr="00000000">
        <w:rPr>
          <w:color w:val="222222"/>
          <w:highlight w:val="white"/>
          <w:rtl w:val="0"/>
        </w:rPr>
        <w:t xml:space="preserve">A. Oportunidad. Para demostrar que una fusión no amenaza con una disminución sustancial de la competencia, la entrada debe ser lo suficientemente rápida como para reemplazar la competencia perdida antes de que pueda ocurrir cualquier efecto de la pérdida de competencia debido a la fusión. La entrada en la mayoría de las industrias requiere una cantidad significativa de tiempo y, por lo tanto, es insuficiente para contrarrestar cualquier disminución sustancial de la competencia que se vea amenazada por una fusión. Además, la entrada debe ser duradera: un entrante que no planee sostener su inversión o que pueda salir del mercado no garantizaría la preservación de la competencia a largo plazo.</w:t>
      </w:r>
    </w:p>
    <w:p w:rsidR="00000000" w:rsidDel="00000000" w:rsidP="00000000" w:rsidRDefault="00000000" w:rsidRPr="00000000" w14:paraId="00000109">
      <w:pPr>
        <w:spacing w:line="360" w:lineRule="auto"/>
        <w:jc w:val="both"/>
        <w:rPr>
          <w:color w:val="222222"/>
          <w:highlight w:val="white"/>
        </w:rPr>
      </w:pPr>
      <w:r w:rsidDel="00000000" w:rsidR="00000000" w:rsidRPr="00000000">
        <w:rPr>
          <w:color w:val="222222"/>
          <w:highlight w:val="white"/>
          <w:rtl w:val="0"/>
        </w:rPr>
        <w:t xml:space="preserve">B. Probabilidad. La entrada inducida por la pérdida de competencia debe ser tan probable que la fusión no amenace una disminución sustancial de la competencia. Las empresas toman decisiones de entrada basándose en las condiciones de mercado que esperan una vez que participan en el mercado. Si la nueva entrada es suficiente para contrarrestar el efecto de la fusión sobre la competencia, las Agencias analizan por qué la fusión induciría una entrada que no estaba prevista en las condiciones competitivas anteriores a la fusión.</w:t>
      </w:r>
    </w:p>
    <w:p w:rsidR="00000000" w:rsidDel="00000000" w:rsidP="00000000" w:rsidRDefault="00000000" w:rsidRPr="00000000" w14:paraId="0000010A">
      <w:pPr>
        <w:spacing w:line="360" w:lineRule="auto"/>
        <w:jc w:val="both"/>
        <w:rPr>
          <w:color w:val="222222"/>
          <w:highlight w:val="white"/>
        </w:rPr>
      </w:pPr>
      <w:r w:rsidDel="00000000" w:rsidR="00000000" w:rsidRPr="00000000">
        <w:rPr>
          <w:color w:val="222222"/>
          <w:highlight w:val="white"/>
          <w:rtl w:val="0"/>
        </w:rPr>
        <w:t xml:space="preserve">Inicio página 33</w:t>
      </w:r>
    </w:p>
    <w:p w:rsidR="00000000" w:rsidDel="00000000" w:rsidP="00000000" w:rsidRDefault="00000000" w:rsidRPr="00000000" w14:paraId="0000010B">
      <w:pPr>
        <w:spacing w:line="360" w:lineRule="auto"/>
        <w:jc w:val="both"/>
        <w:rPr>
          <w:color w:val="222222"/>
          <w:highlight w:val="white"/>
        </w:rPr>
      </w:pPr>
      <w:r w:rsidDel="00000000" w:rsidR="00000000" w:rsidRPr="00000000">
        <w:rPr>
          <w:color w:val="222222"/>
          <w:highlight w:val="white"/>
          <w:rtl w:val="0"/>
        </w:rPr>
        <w:t xml:space="preserve">Las Agencias también evalúan si la fusión puede aumentar las barreras de entrada. Por ejemplo, las empresas que se fusionan pueden tener una mayor capacidad para desalentar o bloquear nuevas entradas cuando se combinan que si fueran empresas separadas. Las fusiones pueden permitir o incentivar estrategias de exclusión unilaterales o coordinadas que dificulten la entrada. La entrada puede ser particularmente desafiante cuando una empresa debe ingresar en múltiples niveles del mercado a una escala suficiente para competir de manera efectiva.</w:t>
      </w:r>
    </w:p>
    <w:p w:rsidR="00000000" w:rsidDel="00000000" w:rsidP="00000000" w:rsidRDefault="00000000" w:rsidRPr="00000000" w14:paraId="0000010C">
      <w:pPr>
        <w:spacing w:line="360" w:lineRule="auto"/>
        <w:jc w:val="both"/>
        <w:rPr>
          <w:color w:val="222222"/>
          <w:highlight w:val="white"/>
        </w:rPr>
      </w:pPr>
      <w:r w:rsidDel="00000000" w:rsidR="00000000" w:rsidRPr="00000000">
        <w:rPr>
          <w:color w:val="222222"/>
          <w:highlight w:val="white"/>
          <w:rtl w:val="0"/>
        </w:rPr>
        <w:t xml:space="preserve">C. Suficiencia. Incluso cuando sea oportuna y probable, la perspectiva de entrada puede no impedir de manera efectiva que una fusión amenace con una disminución sustancial de la competencia. La entrada puede ser insuficiente debido a una amplia variedad de limitaciones que limitan la eficacia de un participante como competidor. La entrada debe al menos replicar la escala, fuerza y durabilidad de una de las partes que se fusionan para ser considerada suficiente. Las Agencias normalmente no acreditan la entrada que depende de una menor competencia en otros mercados.</w:t>
      </w:r>
    </w:p>
    <w:p w:rsidR="00000000" w:rsidDel="00000000" w:rsidP="00000000" w:rsidRDefault="00000000" w:rsidRPr="00000000" w14:paraId="0000010D">
      <w:pPr>
        <w:spacing w:line="360" w:lineRule="auto"/>
        <w:jc w:val="both"/>
        <w:rPr>
          <w:color w:val="222222"/>
          <w:highlight w:val="white"/>
        </w:rPr>
      </w:pPr>
      <w:r w:rsidDel="00000000" w:rsidR="00000000" w:rsidRPr="00000000">
        <w:rPr>
          <w:color w:val="222222"/>
          <w:highlight w:val="white"/>
          <w:rtl w:val="0"/>
        </w:rPr>
        <w:t xml:space="preserve">Como parte de su análisis, las Agencias considerarán las realidades económicas en juego. Por ejemplo, la falta de una entrada exitosa en el pasado probablemente sugerirá que la entrada puede ser lenta o difícil. Ejemplos recientes de entrada, ya sea exitosa o no, proporcionan el punto de partida para identificar los elementos de las barreras prácticas de entrada y las características de la industria que facilitan o interfieren con la entrada.</w:t>
      </w:r>
    </w:p>
    <w:p w:rsidR="00000000" w:rsidDel="00000000" w:rsidP="00000000" w:rsidRDefault="00000000" w:rsidRPr="00000000" w14:paraId="0000010E">
      <w:pPr>
        <w:spacing w:line="360" w:lineRule="auto"/>
        <w:jc w:val="both"/>
        <w:rPr>
          <w:color w:val="222222"/>
          <w:highlight w:val="white"/>
        </w:rPr>
      </w:pPr>
      <w:r w:rsidDel="00000000" w:rsidR="00000000" w:rsidRPr="00000000">
        <w:rPr>
          <w:color w:val="222222"/>
          <w:highlight w:val="white"/>
          <w:rtl w:val="0"/>
        </w:rPr>
        <w:t xml:space="preserve">3. Eficiencias procompetitivas</w:t>
      </w:r>
    </w:p>
    <w:p w:rsidR="00000000" w:rsidDel="00000000" w:rsidP="00000000" w:rsidRDefault="00000000" w:rsidRPr="00000000" w14:paraId="0000010F">
      <w:pPr>
        <w:spacing w:line="360" w:lineRule="auto"/>
        <w:jc w:val="both"/>
        <w:rPr>
          <w:color w:val="222222"/>
          <w:highlight w:val="white"/>
        </w:rPr>
      </w:pPr>
      <w:r w:rsidDel="00000000" w:rsidR="00000000" w:rsidRPr="00000000">
        <w:rPr>
          <w:color w:val="222222"/>
          <w:highlight w:val="white"/>
          <w:rtl w:val="0"/>
        </w:rPr>
        <w:t xml:space="preserve">La Corte Suprema ha sostenido que “las posibles economías [derivadas de una fusión] no pueden usarse como defensa contra la ilegalidad”.*102 La competencia generalmente estimula a las empresas a lograr eficiencias internas, y el Congreso y los tribunales han indicado su preferencia por las eficiencias internas y el crecimiento orgánico. . Las empresas también suelen trabajar juntas utilizando contratos distintos de una fusión para combinar activos complementarios sin las consecuencias anticompetitivas totales de una fusión.</w:t>
      </w:r>
    </w:p>
    <w:p w:rsidR="00000000" w:rsidDel="00000000" w:rsidP="00000000" w:rsidRDefault="00000000" w:rsidRPr="00000000" w14:paraId="00000110">
      <w:pPr>
        <w:spacing w:line="360" w:lineRule="auto"/>
        <w:jc w:val="both"/>
        <w:rPr>
          <w:color w:val="222222"/>
          <w:highlight w:val="white"/>
        </w:rPr>
      </w:pPr>
      <w:r w:rsidDel="00000000" w:rsidR="00000000" w:rsidRPr="00000000">
        <w:rPr>
          <w:color w:val="222222"/>
          <w:highlight w:val="white"/>
          <w:rtl w:val="0"/>
        </w:rPr>
        <w:t xml:space="preserve">Las partes que se fusionan a veces plantean el argumento de refutación de que, a pesar de otras pruebas de que la competencia puede reducirse, la evidencia de eficiencias procompetitivas muestra que la fusión no amenaza ninguna reducción sustancial de la competencia. Al evaluar este argumento, las Agencias no acreditarán afirmaciones vagas o especulativas, ni acreditarán beneficios fuera del mercado relevante.*103 Más bien, las Agencias examinan si las pruebas*104 presentadas por las partes de la fusión muestran cada uno de los siguientes:</w:t>
      </w:r>
    </w:p>
    <w:p w:rsidR="00000000" w:rsidDel="00000000" w:rsidP="00000000" w:rsidRDefault="00000000" w:rsidRPr="00000000" w14:paraId="00000111">
      <w:pPr>
        <w:spacing w:line="360" w:lineRule="auto"/>
        <w:jc w:val="both"/>
        <w:rPr>
          <w:color w:val="222222"/>
          <w:highlight w:val="white"/>
        </w:rPr>
      </w:pPr>
      <w:r w:rsidDel="00000000" w:rsidR="00000000" w:rsidRPr="00000000">
        <w:rPr>
          <w:color w:val="222222"/>
          <w:highlight w:val="white"/>
          <w:rtl w:val="0"/>
        </w:rPr>
        <w:t xml:space="preserve">A. Especificidad de la fusión. La fusión producirá beneficios competitivos sustanciales que no podrían lograrse sin la fusión bajo revisión.*105 Al tomar esta determinación se consideran formas alternativas de lograr los beneficios reclamados.</w:t>
      </w:r>
    </w:p>
    <w:p w:rsidR="00000000" w:rsidDel="00000000" w:rsidP="00000000" w:rsidRDefault="00000000" w:rsidRPr="00000000" w14:paraId="00000112">
      <w:pPr>
        <w:spacing w:line="360" w:lineRule="auto"/>
        <w:jc w:val="both"/>
        <w:rPr>
          <w:color w:val="222222"/>
          <w:highlight w:val="white"/>
        </w:rPr>
      </w:pPr>
      <w:r w:rsidDel="00000000" w:rsidR="00000000" w:rsidRPr="00000000">
        <w:rPr>
          <w:color w:val="222222"/>
          <w:highlight w:val="white"/>
          <w:rtl w:val="0"/>
        </w:rPr>
        <w:t xml:space="preserve">Inicio página 34</w:t>
      </w:r>
    </w:p>
    <w:p w:rsidR="00000000" w:rsidDel="00000000" w:rsidP="00000000" w:rsidRDefault="00000000" w:rsidRPr="00000000" w14:paraId="00000113">
      <w:pPr>
        <w:spacing w:line="360" w:lineRule="auto"/>
        <w:jc w:val="both"/>
        <w:rPr>
          <w:color w:val="222222"/>
          <w:highlight w:val="white"/>
        </w:rPr>
      </w:pPr>
      <w:r w:rsidDel="00000000" w:rsidR="00000000" w:rsidRPr="00000000">
        <w:rPr>
          <w:color w:val="222222"/>
          <w:highlight w:val="white"/>
          <w:rtl w:val="0"/>
        </w:rPr>
        <w:t xml:space="preserve">Los acuerdos alternativos podrían incluir el crecimiento orgánico de una de las empresas que se fusionan, contratos entre ellas, fusiones con otras o una fusión parcial que involucre sólo aquellos activos que dan lugar a eficiencias procompetitivas.</w:t>
      </w:r>
    </w:p>
    <w:p w:rsidR="00000000" w:rsidDel="00000000" w:rsidP="00000000" w:rsidRDefault="00000000" w:rsidRPr="00000000" w14:paraId="00000114">
      <w:pPr>
        <w:spacing w:line="360" w:lineRule="auto"/>
        <w:jc w:val="both"/>
        <w:rPr>
          <w:color w:val="222222"/>
          <w:highlight w:val="white"/>
        </w:rPr>
      </w:pPr>
      <w:r w:rsidDel="00000000" w:rsidR="00000000" w:rsidRPr="00000000">
        <w:rPr>
          <w:color w:val="222222"/>
          <w:highlight w:val="white"/>
          <w:rtl w:val="0"/>
        </w:rPr>
        <w:t xml:space="preserve">B. Verificabilidad. Estos beneficios son verificables y han sido verificados utilizando metodología y evidencia confiables que no dependen de predicciones subjetivas de las partes que se fusionan o de sus agentes. Las eficiencias procompetitivas son a menudo especulativas y difíciles de verificar y cuantificar, y las eficiencias proyectadas por las empresas que se fusionan a menudo no se materializan. Si no existe una metodología confiable para verificar las eficiencias o las partes que se fusionan no la presentan, las Agencias no pueden acreditar esas eficiencias.</w:t>
      </w:r>
    </w:p>
    <w:p w:rsidR="00000000" w:rsidDel="00000000" w:rsidP="00000000" w:rsidRDefault="00000000" w:rsidRPr="00000000" w14:paraId="00000115">
      <w:pPr>
        <w:spacing w:line="360" w:lineRule="auto"/>
        <w:jc w:val="both"/>
        <w:rPr>
          <w:color w:val="222222"/>
          <w:highlight w:val="white"/>
        </w:rPr>
      </w:pPr>
      <w:r w:rsidDel="00000000" w:rsidR="00000000" w:rsidRPr="00000000">
        <w:rPr>
          <w:color w:val="222222"/>
          <w:highlight w:val="white"/>
          <w:rtl w:val="0"/>
        </w:rPr>
        <w:t xml:space="preserve">C. Transferencia para impedir una reducción de la competencia. En la medida en que las eficiencias simplemente beneficien a las empresas que se fusionan, no son reconocibles. Las partes en la concentración deben demostrar que, en un corto período de tiempo, los beneficios mejorarán la competencia en el mercado relevante o evitarán la amenaza de que ésta pueda disminuir.</w:t>
      </w:r>
    </w:p>
    <w:p w:rsidR="00000000" w:rsidDel="00000000" w:rsidP="00000000" w:rsidRDefault="00000000" w:rsidRPr="00000000" w14:paraId="00000116">
      <w:pPr>
        <w:spacing w:line="360" w:lineRule="auto"/>
        <w:jc w:val="both"/>
        <w:rPr>
          <w:color w:val="222222"/>
          <w:highlight w:val="white"/>
        </w:rPr>
      </w:pPr>
      <w:r w:rsidDel="00000000" w:rsidR="00000000" w:rsidRPr="00000000">
        <w:rPr>
          <w:color w:val="222222"/>
          <w:highlight w:val="white"/>
          <w:rtl w:val="0"/>
        </w:rPr>
        <w:t xml:space="preserve">D. Procompetitivo. Cualquier beneficio reclamado por las partes que se fusionan es reconocible sólo si no resulta del empeoramiento anticompetitivo de las condiciones para los socios comerciales de la empresa fusionada.*106 De manera similar, las eficiencias no son reconocibles si acelerarán una tendencia hacia la concentración (ver Directriz 8) o integración vertical (ver Directriz 6).</w:t>
      </w:r>
    </w:p>
    <w:p w:rsidR="00000000" w:rsidDel="00000000" w:rsidP="00000000" w:rsidRDefault="00000000" w:rsidRPr="00000000" w14:paraId="00000117">
      <w:pPr>
        <w:spacing w:line="360" w:lineRule="auto"/>
        <w:jc w:val="both"/>
        <w:rPr>
          <w:color w:val="222222"/>
          <w:highlight w:val="white"/>
        </w:rPr>
      </w:pPr>
      <w:r w:rsidDel="00000000" w:rsidR="00000000" w:rsidRPr="00000000">
        <w:rPr>
          <w:color w:val="222222"/>
          <w:highlight w:val="white"/>
          <w:rtl w:val="0"/>
        </w:rPr>
        <w:t xml:space="preserve">Las eficiencias procompetitivas que satisfacen cada uno de estos criterios se denominan eficiencias reconocibles. Para superar la evidencia de que una fusión puede reducir sustancialmente la competencia, las eficiencias reconocibles deben ser de magnitud y probabilidad suficientes para que la fusión no amenace una disminución sustancial de la competencia en ningún mercado relevante. Las eficiencias reconocibles que no impedirían la creación de un monopolio no pueden justificar una fusión que pueda tender a crear un monopolio.</w:t>
      </w:r>
    </w:p>
    <w:p w:rsidR="00000000" w:rsidDel="00000000" w:rsidP="00000000" w:rsidRDefault="00000000" w:rsidRPr="00000000" w14:paraId="00000118">
      <w:pPr>
        <w:spacing w:line="360" w:lineRule="auto"/>
        <w:jc w:val="both"/>
        <w:rPr>
          <w:color w:val="222222"/>
          <w:highlight w:val="white"/>
        </w:rPr>
      </w:pPr>
      <w:r w:rsidDel="00000000" w:rsidR="00000000" w:rsidRPr="00000000">
        <w:rPr>
          <w:color w:val="222222"/>
          <w:highlight w:val="white"/>
          <w:rtl w:val="0"/>
        </w:rPr>
        <w:t xml:space="preserve">4. Barreras estructurales a la coordinación exclusivas de la industria</w:t>
      </w:r>
    </w:p>
    <w:p w:rsidR="00000000" w:rsidDel="00000000" w:rsidP="00000000" w:rsidRDefault="00000000" w:rsidRPr="00000000" w14:paraId="00000119">
      <w:pPr>
        <w:spacing w:line="360" w:lineRule="auto"/>
        <w:jc w:val="both"/>
        <w:rPr>
          <w:color w:val="222222"/>
          <w:highlight w:val="white"/>
        </w:rPr>
      </w:pPr>
      <w:r w:rsidDel="00000000" w:rsidR="00000000" w:rsidRPr="00000000">
        <w:rPr>
          <w:color w:val="222222"/>
          <w:highlight w:val="white"/>
          <w:rtl w:val="0"/>
        </w:rPr>
        <w:t xml:space="preserve">Cuando la evidencia de la estructura del mercado sugiere que una fusión puede reducir sustancialmente la competencia a través de la coordinación (Directrices 1 y 3), las partes en la fusión a veces argumentan que la coordinación anticompetitiva es, no obstante, imposible debido a las barreras estructurales del mercado a la coordinación. Las Agencias consideran si las barreras estructurales del mercado a la coordinación son “mucho mayores en la industria [relevante] que en otras industrias que refutan la presunción normal” de efectos coordinados.*107 Según la experiencia de las Agencias, las condiciones estructurales que impiden la coordinación son excesivamente raro en la economía moderna. Cuanto mayor sea el nivel de concentración en el mercado relevante, mayores deben ser las barreras estructurales a la coordinación para demostrar que no se amenaza una disminución sustancial de la competencia.</w:t>
      </w:r>
    </w:p>
    <w:p w:rsidR="00000000" w:rsidDel="00000000" w:rsidP="00000000" w:rsidRDefault="00000000" w:rsidRPr="00000000" w14:paraId="0000011A">
      <w:pPr>
        <w:spacing w:line="360" w:lineRule="auto"/>
        <w:jc w:val="both"/>
        <w:rPr>
          <w:color w:val="222222"/>
          <w:highlight w:val="white"/>
        </w:rPr>
      </w:pPr>
      <w:r w:rsidDel="00000000" w:rsidR="00000000" w:rsidRPr="00000000">
        <w:rPr>
          <w:color w:val="222222"/>
          <w:highlight w:val="white"/>
          <w:rtl w:val="0"/>
        </w:rPr>
        <w:t xml:space="preserve">Inicio página 1</w:t>
      </w:r>
    </w:p>
    <w:p w:rsidR="00000000" w:rsidDel="00000000" w:rsidP="00000000" w:rsidRDefault="00000000" w:rsidRPr="00000000" w14:paraId="0000011B">
      <w:pPr>
        <w:spacing w:line="360" w:lineRule="auto"/>
        <w:jc w:val="both"/>
        <w:rPr>
          <w:color w:val="222222"/>
          <w:highlight w:val="white"/>
        </w:rPr>
      </w:pPr>
      <w:r w:rsidDel="00000000" w:rsidR="00000000" w:rsidRPr="00000000">
        <w:rPr>
          <w:color w:val="222222"/>
          <w:highlight w:val="white"/>
          <w:rtl w:val="0"/>
        </w:rPr>
        <w:t xml:space="preserve">Apéndice 1: Fuentes de evidencia</w:t>
      </w:r>
    </w:p>
    <w:p w:rsidR="00000000" w:rsidDel="00000000" w:rsidP="00000000" w:rsidRDefault="00000000" w:rsidRPr="00000000" w14:paraId="0000011C">
      <w:pPr>
        <w:spacing w:line="360" w:lineRule="auto"/>
        <w:jc w:val="both"/>
        <w:rPr>
          <w:color w:val="222222"/>
          <w:highlight w:val="white"/>
        </w:rPr>
      </w:pPr>
      <w:r w:rsidDel="00000000" w:rsidR="00000000" w:rsidRPr="00000000">
        <w:rPr>
          <w:color w:val="222222"/>
          <w:highlight w:val="white"/>
          <w:rtl w:val="0"/>
        </w:rPr>
        <w:t xml:space="preserve">Este apéndice describe las fuentes de evidencia más comunes a las que recurren las Agencias en una investigación de fusión. La evidencia en la que se basarán las Agencias para evaluar si una fusión puede disminuir sustancialmente la competencia o tender a crear un monopolio se pesa en función de su valor probatorio. Al evaluar la evidencia disponible, las Agencias consideran documentos, testimonios, datos disponibles y análisis de esos datos, incluidos análisis econométricos y modelos económicos creíbles.</w:t>
      </w:r>
    </w:p>
    <w:p w:rsidR="00000000" w:rsidDel="00000000" w:rsidP="00000000" w:rsidRDefault="00000000" w:rsidRPr="00000000" w14:paraId="0000011D">
      <w:pPr>
        <w:spacing w:line="360" w:lineRule="auto"/>
        <w:jc w:val="both"/>
        <w:rPr>
          <w:color w:val="222222"/>
          <w:highlight w:val="white"/>
        </w:rPr>
      </w:pPr>
      <w:r w:rsidDel="00000000" w:rsidR="00000000" w:rsidRPr="00000000">
        <w:rPr>
          <w:color w:val="222222"/>
          <w:highlight w:val="white"/>
          <w:rtl w:val="0"/>
        </w:rPr>
        <w:t xml:space="preserve">Partes fusionadas. Las Agencias a menudo obtienen información sustancial de las partes que se fusionan, incluidos documentos, testimonios y datos. En todas estas categorías, la evidencia creada en el curso normal del negocio es más probatoria que la evidencia creada después de que la empresa comenzó a anticipar una revisión de fusión. De manera similar, las Agencias dan menos peso a las predicciones de las partes o sus empleados, ya sea en el curso normal de los negocios o en anticipación de un litigio, ofrecidas para disipar preocupaciones sobre la competencia. Cuando el testimonio de los empleados de las partes que se fusionan interesados en los resultados contradice los registros comerciales ordinarios, las Agencias generalmente dan mayor peso a los registros comerciales.</w:t>
      </w:r>
    </w:p>
    <w:p w:rsidR="00000000" w:rsidDel="00000000" w:rsidP="00000000" w:rsidRDefault="00000000" w:rsidRPr="00000000" w14:paraId="0000011E">
      <w:pPr>
        <w:spacing w:line="360" w:lineRule="auto"/>
        <w:jc w:val="both"/>
        <w:rPr>
          <w:color w:val="222222"/>
          <w:highlight w:val="white"/>
        </w:rPr>
      </w:pPr>
      <w:r w:rsidDel="00000000" w:rsidR="00000000" w:rsidRPr="00000000">
        <w:rPr>
          <w:color w:val="222222"/>
          <w:highlight w:val="white"/>
          <w:rtl w:val="0"/>
        </w:rPr>
        <w:t xml:space="preserve">Evidencia de que las partes que se fusionan tienen la intención o esperan que la fusión reduzca la competencia, como planes para coordinarse con otras empresas, aumentar los precios, reducir la producción o la capacidad, reducir la calidad o variedad del producto, bajar los salarios, recortar beneficios, salir de un mercado, cancelar planes para entrar en un mercado sin una fusión, retirar productos o retrasar su introducción, o reducir los esfuerzos de investigación y desarrollo después de la fusión, puede ser muy informativo para evaluar los efectos de una fusión sobre la competencia. Sin embargo, las Agencias dan poca importancia a la falta de dicha evidencia o a la intención contraria expresada por las partes que se fusionan.</w:t>
      </w:r>
    </w:p>
    <w:p w:rsidR="00000000" w:rsidDel="00000000" w:rsidP="00000000" w:rsidRDefault="00000000" w:rsidRPr="00000000" w14:paraId="0000011F">
      <w:pPr>
        <w:spacing w:line="360" w:lineRule="auto"/>
        <w:jc w:val="both"/>
        <w:rPr>
          <w:color w:val="222222"/>
          <w:highlight w:val="white"/>
        </w:rPr>
      </w:pPr>
      <w:r w:rsidDel="00000000" w:rsidR="00000000" w:rsidRPr="00000000">
        <w:rPr>
          <w:color w:val="222222"/>
          <w:highlight w:val="white"/>
          <w:rtl w:val="0"/>
        </w:rPr>
        <w:t xml:space="preserve">Clientes, trabajadores, participantes de la industria y observadores. Los clientes pueden proporcionar una variedad de información a las Agencias, que van desde información sobre su propio comportamiento de compra y sus opciones hasta sus puntos de vista sobre los efectos de la fusión en sí. Las Agencias consideran la relación entre los clientes y las partes que se fusionan al sopesar las pruebas de los clientes. La relación comercial en curso entre un cliente y una parte que se fusiona puede disuadir al cliente de proporcionar pruebas incompatibles con los intereses de las partes que se fusionan.</w:t>
      </w:r>
    </w:p>
    <w:p w:rsidR="00000000" w:rsidDel="00000000" w:rsidP="00000000" w:rsidRDefault="00000000" w:rsidRPr="00000000" w14:paraId="00000120">
      <w:pPr>
        <w:spacing w:line="360" w:lineRule="auto"/>
        <w:jc w:val="both"/>
        <w:rPr>
          <w:color w:val="222222"/>
          <w:highlight w:val="white"/>
        </w:rPr>
      </w:pPr>
      <w:r w:rsidDel="00000000" w:rsidR="00000000" w:rsidRPr="00000000">
        <w:rPr>
          <w:color w:val="222222"/>
          <w:highlight w:val="white"/>
          <w:rtl w:val="0"/>
        </w:rPr>
        <w:t xml:space="preserve">Los trabajadores y representantes de las organizaciones laborales pueden proporcionar información sobre, entre otras cosas, salarios, compensaciones no salariales, condiciones laborales, las necesidades individualizadas de los trabajadores en el mercado en cuestión, las fricciones involucradas al cambiar de trabajo y la industria en la que trabajan. .</w:t>
      </w:r>
    </w:p>
    <w:p w:rsidR="00000000" w:rsidDel="00000000" w:rsidP="00000000" w:rsidRDefault="00000000" w:rsidRPr="00000000" w14:paraId="00000121">
      <w:pPr>
        <w:spacing w:line="360" w:lineRule="auto"/>
        <w:jc w:val="both"/>
        <w:rPr>
          <w:color w:val="222222"/>
          <w:highlight w:val="white"/>
        </w:rPr>
      </w:pPr>
      <w:r w:rsidDel="00000000" w:rsidR="00000000" w:rsidRPr="00000000">
        <w:rPr>
          <w:color w:val="222222"/>
          <w:highlight w:val="white"/>
          <w:rtl w:val="0"/>
        </w:rPr>
        <w:t xml:space="preserve">De manera similar, otros proveedores, clientes indirectos, distribuidores, consultores y analistas de la industria también pueden proporcionar información útil para una consulta de fusión. Al igual que con otras partes interesadas, las Agencias dan menos peso a las pruebas creadas en anticipación de una investigación de fusión y más peso a las pruebas desarrolladas en el curso normal de los negocios.</w:t>
      </w:r>
    </w:p>
    <w:p w:rsidR="00000000" w:rsidDel="00000000" w:rsidP="00000000" w:rsidRDefault="00000000" w:rsidRPr="00000000" w14:paraId="00000122">
      <w:pPr>
        <w:spacing w:line="360" w:lineRule="auto"/>
        <w:jc w:val="both"/>
        <w:rPr>
          <w:color w:val="222222"/>
          <w:highlight w:val="white"/>
        </w:rPr>
      </w:pPr>
      <w:r w:rsidDel="00000000" w:rsidR="00000000" w:rsidRPr="00000000">
        <w:rPr>
          <w:color w:val="222222"/>
          <w:highlight w:val="white"/>
          <w:rtl w:val="0"/>
        </w:rPr>
        <w:t xml:space="preserve">Efectos de mercado en fusiones consumadas. Se otorga un peso sustancial a la evidencia de aumentos de precios observados después de la fusión o de empeoramiento de las condiciones. Sin embargo, una fusión consumada puede reducir sustancialmente la competencia incluso si tales efectos aún no se han observado, tal vez porque la empresa fusionada puede ser consciente de la posibilidad de una revisión antimonopolio posterior a la fusión y, por lo tanto, está moderando su conducta. En consecuencia, al evaluar las fusiones consumadas, las Agencias también consideran los mismos tipos de evidencia al evaluar las fusiones propuestas.</w:t>
      </w:r>
    </w:p>
    <w:p w:rsidR="00000000" w:rsidDel="00000000" w:rsidP="00000000" w:rsidRDefault="00000000" w:rsidRPr="00000000" w14:paraId="00000123">
      <w:pPr>
        <w:spacing w:line="360" w:lineRule="auto"/>
        <w:jc w:val="both"/>
        <w:rPr>
          <w:color w:val="222222"/>
          <w:highlight w:val="white"/>
        </w:rPr>
      </w:pPr>
      <w:r w:rsidDel="00000000" w:rsidR="00000000" w:rsidRPr="00000000">
        <w:rPr>
          <w:color w:val="222222"/>
          <w:highlight w:val="white"/>
          <w:rtl w:val="0"/>
        </w:rPr>
        <w:t xml:space="preserve">Inicio página 2</w:t>
      </w:r>
    </w:p>
    <w:p w:rsidR="00000000" w:rsidDel="00000000" w:rsidP="00000000" w:rsidRDefault="00000000" w:rsidRPr="00000000" w14:paraId="00000124">
      <w:pPr>
        <w:spacing w:line="360" w:lineRule="auto"/>
        <w:jc w:val="both"/>
        <w:rPr>
          <w:color w:val="222222"/>
          <w:highlight w:val="white"/>
        </w:rPr>
      </w:pPr>
      <w:r w:rsidDel="00000000" w:rsidR="00000000" w:rsidRPr="00000000">
        <w:rPr>
          <w:color w:val="222222"/>
          <w:highlight w:val="white"/>
          <w:rtl w:val="0"/>
        </w:rPr>
        <w:t xml:space="preserve">Análisis Econométrico y Modelización Económica. El análisis econométrico de datos y otros tipos de modelos económicos pueden resultar informativos para evaluar los efectos potenciales de una fusión sobre la competencia. Las Agencias suelen dar más peso al análisis utilizando datos de alta calidad y adhiriéndose a estándares rigurosos. Pero las Agencias también tienen en cuenta que, en algunos casos, la disponibilidad o calidad de los datos o de técnicas de modelización confiables podrían limitar la disponibilidad y relevancia de los modelos econométricos. Cuando hay datos disponibles, las Agencias reconocen que el objetivo de los modelos económicos no es crear una representación perfecta de la realidad, sino más bien informar una evaluación del cambio probable en los incentivos de las empresas resultante de una fusión.</w:t>
      </w:r>
    </w:p>
    <w:p w:rsidR="00000000" w:rsidDel="00000000" w:rsidP="00000000" w:rsidRDefault="00000000" w:rsidRPr="00000000" w14:paraId="00000125">
      <w:pPr>
        <w:spacing w:line="360" w:lineRule="auto"/>
        <w:jc w:val="both"/>
        <w:rPr>
          <w:color w:val="222222"/>
          <w:highlight w:val="white"/>
        </w:rPr>
      </w:pPr>
      <w:r w:rsidDel="00000000" w:rsidR="00000000" w:rsidRPr="00000000">
        <w:rPr>
          <w:color w:val="222222"/>
          <w:highlight w:val="white"/>
          <w:rtl w:val="0"/>
        </w:rPr>
        <w:t xml:space="preserve">Términos de transacción. Los términos financieros de la transacción también pueden ser informativos sobre el impacto de una fusión en la competencia. Por ejemplo, un precio de compra que excede el valor de mercado independiente de la empresa adquirida a veces puede indicar que la empresa adquirente está pagando una prima porque espera poder beneficiarse de una competencia reducida.</w:t>
      </w:r>
    </w:p>
    <w:p w:rsidR="00000000" w:rsidDel="00000000" w:rsidP="00000000" w:rsidRDefault="00000000" w:rsidRPr="00000000" w14:paraId="00000126">
      <w:pPr>
        <w:spacing w:line="360" w:lineRule="auto"/>
        <w:jc w:val="both"/>
        <w:rPr>
          <w:color w:val="222222"/>
          <w:highlight w:val="white"/>
        </w:rPr>
      </w:pPr>
      <w:r w:rsidDel="00000000" w:rsidR="00000000" w:rsidRPr="00000000">
        <w:rPr>
          <w:color w:val="222222"/>
          <w:highlight w:val="white"/>
          <w:rtl w:val="0"/>
        </w:rPr>
        <w:t xml:space="preserve">Inicio página 3</w:t>
      </w:r>
    </w:p>
    <w:p w:rsidR="00000000" w:rsidDel="00000000" w:rsidP="00000000" w:rsidRDefault="00000000" w:rsidRPr="00000000" w14:paraId="00000127">
      <w:pPr>
        <w:spacing w:line="360" w:lineRule="auto"/>
        <w:jc w:val="both"/>
        <w:rPr>
          <w:color w:val="222222"/>
          <w:highlight w:val="white"/>
        </w:rPr>
      </w:pPr>
      <w:r w:rsidDel="00000000" w:rsidR="00000000" w:rsidRPr="00000000">
        <w:rPr>
          <w:color w:val="222222"/>
          <w:highlight w:val="white"/>
          <w:rtl w:val="0"/>
        </w:rPr>
        <w:t xml:space="preserve">Apéndice 2. Evaluación de la competencia entre empresas</w:t>
      </w:r>
    </w:p>
    <w:p w:rsidR="00000000" w:rsidDel="00000000" w:rsidP="00000000" w:rsidRDefault="00000000" w:rsidRPr="00000000" w14:paraId="00000128">
      <w:pPr>
        <w:spacing w:line="360" w:lineRule="auto"/>
        <w:jc w:val="both"/>
        <w:rPr>
          <w:color w:val="222222"/>
          <w:highlight w:val="white"/>
        </w:rPr>
      </w:pPr>
      <w:r w:rsidDel="00000000" w:rsidR="00000000" w:rsidRPr="00000000">
        <w:rPr>
          <w:color w:val="222222"/>
          <w:highlight w:val="white"/>
          <w:rtl w:val="0"/>
        </w:rPr>
        <w:t xml:space="preserve">Este apéndice analiza la evidencia y las herramientas que las agencias utilizan al evaluar la competencia entre empresas. La evidencia y las herramientas de esta sección pueden ser relevantes para una variedad de entornos, por ejemplo: para evaluar la competencia entre empresas rivales (Pauta 2); el incentivo para reducir o negar el acceso a un producto que los rivales utilizan para competir (Directriz 5); o para la definición del mercado (Sección III de estas Directrices), por ejemplo al realizar la Prueba del Monopolista Hipotético (Apéndice 3.A).</w:t>
      </w:r>
    </w:p>
    <w:p w:rsidR="00000000" w:rsidDel="00000000" w:rsidP="00000000" w:rsidRDefault="00000000" w:rsidRPr="00000000" w14:paraId="00000129">
      <w:pPr>
        <w:spacing w:line="360" w:lineRule="auto"/>
        <w:jc w:val="both"/>
        <w:rPr>
          <w:color w:val="222222"/>
          <w:highlight w:val="white"/>
        </w:rPr>
      </w:pPr>
      <w:r w:rsidDel="00000000" w:rsidR="00000000" w:rsidRPr="00000000">
        <w:rPr>
          <w:color w:val="222222"/>
          <w:highlight w:val="white"/>
          <w:rtl w:val="0"/>
        </w:rPr>
        <w:t xml:space="preserve">Para mayor claridad, el análisis de este apéndice a menudo se centra en la competencia entre dos proveedores de productos sustitutos que fijan los precios. Herramientas analíticas análogas también pueden ser relevantes en entornos más generales, por ejemplo cuando se considera: competencia entre más de dos proveedores; competencia entre compradores o empleadores para adquirir insumos y mano de obra; competencia que se deriva de la disposición del cliente a comprar en diferentes lugares; y la competencia que tiene lugar en dimensiones distintas al precio o cuando los términos se determinan mediante, por ejemplo, negociaciones o subastas.</w:t>
      </w:r>
    </w:p>
    <w:p w:rsidR="00000000" w:rsidDel="00000000" w:rsidP="00000000" w:rsidRDefault="00000000" w:rsidRPr="00000000" w14:paraId="0000012A">
      <w:pPr>
        <w:spacing w:line="360" w:lineRule="auto"/>
        <w:jc w:val="both"/>
        <w:rPr>
          <w:color w:val="222222"/>
          <w:highlight w:val="white"/>
        </w:rPr>
      </w:pPr>
      <w:r w:rsidDel="00000000" w:rsidR="00000000" w:rsidRPr="00000000">
        <w:rPr>
          <w:color w:val="222222"/>
          <w:highlight w:val="white"/>
          <w:rtl w:val="0"/>
        </w:rPr>
        <w:t xml:space="preserve">La directriz 2 describe cómo se pueden utilizar diferentes tipos de pruebas para evaluar el daño potencial que una fusión podría causar a la competencia; A continuación se repiten algunas partes de la Directriz 2 que son relevantes en otros entornos.</w:t>
      </w:r>
    </w:p>
    <w:p w:rsidR="00000000" w:rsidDel="00000000" w:rsidP="00000000" w:rsidRDefault="00000000" w:rsidRPr="00000000" w14:paraId="0000012B">
      <w:pPr>
        <w:spacing w:line="360" w:lineRule="auto"/>
        <w:jc w:val="both"/>
        <w:rPr>
          <w:color w:val="222222"/>
          <w:highlight w:val="white"/>
        </w:rPr>
      </w:pPr>
      <w:r w:rsidDel="00000000" w:rsidR="00000000" w:rsidRPr="00000000">
        <w:rPr>
          <w:color w:val="222222"/>
          <w:highlight w:val="white"/>
          <w:rtl w:val="0"/>
        </w:rPr>
        <w:t xml:space="preserve">A. Consideraciones generales aplicables</w:t>
      </w:r>
    </w:p>
    <w:p w:rsidR="00000000" w:rsidDel="00000000" w:rsidP="00000000" w:rsidRDefault="00000000" w:rsidRPr="00000000" w14:paraId="0000012C">
      <w:pPr>
        <w:spacing w:line="360" w:lineRule="auto"/>
        <w:jc w:val="both"/>
        <w:rPr>
          <w:color w:val="222222"/>
          <w:highlight w:val="white"/>
        </w:rPr>
      </w:pPr>
      <w:r w:rsidDel="00000000" w:rsidR="00000000" w:rsidRPr="00000000">
        <w:rPr>
          <w:color w:val="222222"/>
          <w:highlight w:val="white"/>
          <w:rtl w:val="0"/>
        </w:rPr>
        <w:t xml:space="preserve">Las Agencias podrán considerar uno o más de los siguientes tipos de evidencia, herramientas y métricas al evaluar el grado de competencia entre empresas:</w:t>
      </w:r>
    </w:p>
    <w:p w:rsidR="00000000" w:rsidDel="00000000" w:rsidP="00000000" w:rsidRDefault="00000000" w:rsidRPr="00000000" w14:paraId="0000012D">
      <w:pPr>
        <w:spacing w:line="360" w:lineRule="auto"/>
        <w:jc w:val="both"/>
        <w:rPr>
          <w:color w:val="222222"/>
          <w:highlight w:val="white"/>
        </w:rPr>
      </w:pPr>
      <w:r w:rsidDel="00000000" w:rsidR="00000000" w:rsidRPr="00000000">
        <w:rPr>
          <w:color w:val="222222"/>
          <w:highlight w:val="white"/>
          <w:rtl w:val="0"/>
        </w:rPr>
        <w:t xml:space="preserve">Deliberaciones o Decisiones Estratégicas. Las Agencias podrán analizar el alcance de la competencia entre las empresas que se fusionan examinando evidencia de sus deliberaciones o decisiones estratégicas en el curso normal de sus negocios, así como la información considerada durante el proceso de decisión de fusionarse. Por ejemplo, en algunos mercados, las empresas pueden monitorear mutuamente los precios, las campañas de marketing, la ubicación de las instalaciones, las mejoras, los productos, la capacidad, la producción, los costos de los insumos y/o los planes de innovación. Esto puede proporcionar evidencia de competencia entre las empresas que se fusionan, especialmente cuando reaccionan tomando medidas para preservar o mejorar la competitividad o rentabilidad de sus propios productos o servicios.</w:t>
      </w:r>
    </w:p>
    <w:p w:rsidR="00000000" w:rsidDel="00000000" w:rsidP="00000000" w:rsidRDefault="00000000" w:rsidRPr="00000000" w14:paraId="0000012E">
      <w:pPr>
        <w:spacing w:line="360" w:lineRule="auto"/>
        <w:jc w:val="both"/>
        <w:rPr>
          <w:color w:val="222222"/>
          <w:highlight w:val="white"/>
        </w:rPr>
      </w:pPr>
      <w:r w:rsidDel="00000000" w:rsidR="00000000" w:rsidRPr="00000000">
        <w:rPr>
          <w:color w:val="222222"/>
          <w:highlight w:val="white"/>
          <w:rtl w:val="0"/>
        </w:rPr>
        <w:t xml:space="preserve">Eventos previos de fusión, entrada y salida. Las Agencias pueden recurrir a acontecimientos históricos para evaluar la presencia y la sustancialidad de la competencia directa entre las empresas que se fusionan. Por ejemplo, las Agencias pueden examinar el impacto de fusiones, entradas, expansiones o salidas relevantes recientes.</w:t>
      </w:r>
    </w:p>
    <w:p w:rsidR="00000000" w:rsidDel="00000000" w:rsidP="00000000" w:rsidRDefault="00000000" w:rsidRPr="00000000" w14:paraId="0000012F">
      <w:pPr>
        <w:spacing w:line="360" w:lineRule="auto"/>
        <w:jc w:val="both"/>
        <w:rPr>
          <w:color w:val="222222"/>
          <w:highlight w:val="white"/>
        </w:rPr>
      </w:pPr>
      <w:r w:rsidDel="00000000" w:rsidR="00000000" w:rsidRPr="00000000">
        <w:rPr>
          <w:color w:val="222222"/>
          <w:highlight w:val="white"/>
          <w:rtl w:val="0"/>
        </w:rPr>
        <w:t xml:space="preserve">Sustitución de Clientes. La voluntad de los clientes de cambiar entre los productos de diferentes empresas es una parte importante del proceso competitivo. Las empresas son competidores más cercanos cuanto más dispuestos están los clientes a cambiar entre sus productos.</w:t>
      </w:r>
    </w:p>
    <w:p w:rsidR="00000000" w:rsidDel="00000000" w:rsidP="00000000" w:rsidRDefault="00000000" w:rsidRPr="00000000" w14:paraId="00000130">
      <w:pPr>
        <w:spacing w:line="360" w:lineRule="auto"/>
        <w:jc w:val="both"/>
        <w:rPr>
          <w:color w:val="222222"/>
          <w:highlight w:val="white"/>
        </w:rPr>
      </w:pPr>
      <w:r w:rsidDel="00000000" w:rsidR="00000000" w:rsidRPr="00000000">
        <w:rPr>
          <w:color w:val="222222"/>
          <w:highlight w:val="white"/>
          <w:rtl w:val="0"/>
        </w:rPr>
        <w:t xml:space="preserve">La evidencia comúnmente analizada para mostrar el alcance de la sustitución entre los productos de las empresas incluye: cómo los clientes han cambiado sus compras en el pasado en respuesta a cambios relativos en</w:t>
      </w:r>
    </w:p>
    <w:p w:rsidR="00000000" w:rsidDel="00000000" w:rsidP="00000000" w:rsidRDefault="00000000" w:rsidRPr="00000000" w14:paraId="00000131">
      <w:pPr>
        <w:spacing w:line="360" w:lineRule="auto"/>
        <w:jc w:val="both"/>
        <w:rPr>
          <w:color w:val="222222"/>
          <w:highlight w:val="white"/>
        </w:rPr>
      </w:pPr>
      <w:r w:rsidDel="00000000" w:rsidR="00000000" w:rsidRPr="00000000">
        <w:rPr>
          <w:color w:val="222222"/>
          <w:highlight w:val="white"/>
          <w:rtl w:val="0"/>
        </w:rPr>
        <w:t xml:space="preserve">Inicio página 4</w:t>
      </w:r>
    </w:p>
    <w:p w:rsidR="00000000" w:rsidDel="00000000" w:rsidP="00000000" w:rsidRDefault="00000000" w:rsidRPr="00000000" w14:paraId="00000132">
      <w:pPr>
        <w:spacing w:line="360" w:lineRule="auto"/>
        <w:jc w:val="both"/>
        <w:rPr>
          <w:color w:val="222222"/>
          <w:highlight w:val="white"/>
        </w:rPr>
      </w:pPr>
      <w:r w:rsidDel="00000000" w:rsidR="00000000" w:rsidRPr="00000000">
        <w:rPr>
          <w:color w:val="222222"/>
          <w:highlight w:val="white"/>
          <w:rtl w:val="0"/>
        </w:rPr>
        <w:t xml:space="preserve">precio u otros términos y condiciones; evidencia documental y testimonial como informes de ganancias/pérdidas, evidencia de procesos de aprobación de descuentos, datos de cambio, encuestas a clientes, así como información de proveedores de productos complementarios y distribuidores; información objetiva sobre las características del producto; y las realidades del mercado que afectan la capacidad de los clientes para cambiar.</w:t>
      </w:r>
    </w:p>
    <w:p w:rsidR="00000000" w:rsidDel="00000000" w:rsidP="00000000" w:rsidRDefault="00000000" w:rsidRPr="00000000" w14:paraId="00000133">
      <w:pPr>
        <w:spacing w:line="360" w:lineRule="auto"/>
        <w:jc w:val="both"/>
        <w:rPr>
          <w:color w:val="222222"/>
          <w:highlight w:val="white"/>
        </w:rPr>
      </w:pPr>
      <w:r w:rsidDel="00000000" w:rsidR="00000000" w:rsidRPr="00000000">
        <w:rPr>
          <w:color w:val="222222"/>
          <w:highlight w:val="white"/>
          <w:rtl w:val="0"/>
        </w:rPr>
        <w:t xml:space="preserve">Impacto de las acciones competitivas sobre los rivales. Las acciones competitivas, como bajar los precios o aumentar la producción, por parte de una empresa pueden aumentar sus ventas a expensas de sus rivales. Las Agencias pueden medir el alcance de la competencia entre empresas considerando el impacto que las acciones competitivas de una empresa tienen sobre las demás. El impacto de las acciones competitivas de una empresa sobre un rival generalmente depende de cuántas ventas perdería un rival como resultado de las acciones competitivas, así como de la rentabilidad de esas ventas perdidas. Las Agencias podrán utilizar márgenes para medir la rentabilidad de la venta que habría realizado un rival.*1</w:t>
      </w:r>
    </w:p>
    <w:p w:rsidR="00000000" w:rsidDel="00000000" w:rsidP="00000000" w:rsidRDefault="00000000" w:rsidRPr="00000000" w14:paraId="00000134">
      <w:pPr>
        <w:spacing w:line="360" w:lineRule="auto"/>
        <w:jc w:val="both"/>
        <w:rPr>
          <w:color w:val="222222"/>
          <w:highlight w:val="white"/>
        </w:rPr>
      </w:pPr>
      <w:r w:rsidDel="00000000" w:rsidR="00000000" w:rsidRPr="00000000">
        <w:rPr>
          <w:color w:val="222222"/>
          <w:highlight w:val="white"/>
          <w:rtl w:val="0"/>
        </w:rPr>
        <w:t xml:space="preserve">Impacto de la eliminación de la competencia entre las empresas. En algunos casos, puede haber evidencia disponible para evaluar el impacto de la competencia de una o más empresas en las acciones de otras empresas, como las decisiones de las empresas sobre precio, calidad, salarios u otra dimensión de la competencia. Esto puede medirse comparando las acciones de las dos empresas cuando compiten y toman decisiones estratégicas de forma independiente, con las acciones que las empresas podrían elegir si actuaran conjuntamente. Los cambios reales o previstos en estos resultados de la competencia, cuando están disponibles, pueden indicar el grado de competencia entre las empresas.</w:t>
      </w:r>
    </w:p>
    <w:p w:rsidR="00000000" w:rsidDel="00000000" w:rsidP="00000000" w:rsidRDefault="00000000" w:rsidRPr="00000000" w14:paraId="00000135">
      <w:pPr>
        <w:spacing w:line="360" w:lineRule="auto"/>
        <w:jc w:val="both"/>
        <w:rPr>
          <w:color w:val="222222"/>
          <w:highlight w:val="white"/>
        </w:rPr>
      </w:pPr>
      <w:r w:rsidDel="00000000" w:rsidR="00000000" w:rsidRPr="00000000">
        <w:rPr>
          <w:color w:val="222222"/>
          <w:highlight w:val="white"/>
          <w:rtl w:val="0"/>
        </w:rPr>
        <w:t xml:space="preserve">Para realizar este tipo de comparación, las Agencias a veces se basan en modelos económicos. A menudo, estos modelos consideran los incentivos de las empresas para cambiar sus acciones en una o más dimensiones seleccionadas, como el precio, en un escenario hipotético simplificado. Por ejemplo, un modelo podría centrarse en los incentivos de corto plazo de las empresas para cambiar el precio, al mismo tiempo que se abstrae de una variedad de fuerzas competitivas y dimensiones de competencia adicionales, como el potencial de las empresas para reposicionar sus productos o para las empresas que se fusionan para coordinarse. con otras firmas. Un modelo de este tipo puede incorporar datos y pruebas para producir estimaciones cuantitativas del impacto de una pérdida de competencia en los incentivos de las empresas y las decisiones correspondientes. Por ejemplo, el modelo puede arrojar una gama de estimaciones del efecto de una fusión sobre los precios o la producción a corto plazo. Los economistas a veces se refieren a este tipo de ejercicio como “simulación de fusión”, a pesar de que el escenario hipotético considera sólo aspectos seleccionados de la pérdida de competencia derivada de una fusión. Las Agencias utilizan estos modelos para dar una indicación de la escala y la importancia de la competencia, no para predecir con precisión los resultados.</w:t>
      </w:r>
    </w:p>
    <w:p w:rsidR="00000000" w:rsidDel="00000000" w:rsidP="00000000" w:rsidRDefault="00000000" w:rsidRPr="00000000" w14:paraId="00000136">
      <w:pPr>
        <w:spacing w:line="360" w:lineRule="auto"/>
        <w:jc w:val="both"/>
        <w:rPr>
          <w:color w:val="222222"/>
          <w:highlight w:val="white"/>
        </w:rPr>
      </w:pPr>
      <w:r w:rsidDel="00000000" w:rsidR="00000000" w:rsidRPr="00000000">
        <w:rPr>
          <w:color w:val="222222"/>
          <w:highlight w:val="white"/>
          <w:rtl w:val="0"/>
        </w:rPr>
        <w:t xml:space="preserve">B. Consideraciones cuando los términos los fijan las empresas</w:t>
      </w:r>
    </w:p>
    <w:p w:rsidR="00000000" w:rsidDel="00000000" w:rsidP="00000000" w:rsidRDefault="00000000" w:rsidRPr="00000000" w14:paraId="00000137">
      <w:pPr>
        <w:spacing w:line="360" w:lineRule="auto"/>
        <w:jc w:val="both"/>
        <w:rPr>
          <w:color w:val="222222"/>
          <w:highlight w:val="white"/>
        </w:rPr>
      </w:pPr>
      <w:r w:rsidDel="00000000" w:rsidR="00000000" w:rsidRPr="00000000">
        <w:rPr>
          <w:color w:val="222222"/>
          <w:highlight w:val="white"/>
          <w:rtl w:val="0"/>
        </w:rPr>
        <w:t xml:space="preserve">Las Agencias pueden utilizar varios tipos de evidencia y métricas para evaluar la fuerza de la competencia entre empresas que ofrecen los mismos términos a muchos clientes diferentes. Las empresas pueden ofrecer diferentes condiciones a diferentes grupos de clientes.</w:t>
      </w:r>
    </w:p>
    <w:p w:rsidR="00000000" w:rsidDel="00000000" w:rsidP="00000000" w:rsidRDefault="00000000" w:rsidRPr="00000000" w14:paraId="00000138">
      <w:pPr>
        <w:spacing w:line="360" w:lineRule="auto"/>
        <w:jc w:val="both"/>
        <w:rPr>
          <w:color w:val="222222"/>
          <w:highlight w:val="white"/>
        </w:rPr>
      </w:pPr>
      <w:r w:rsidDel="00000000" w:rsidR="00000000" w:rsidRPr="00000000">
        <w:rPr>
          <w:color w:val="222222"/>
          <w:highlight w:val="white"/>
          <w:rtl w:val="0"/>
        </w:rPr>
        <w:t xml:space="preserve">Inicio página 5</w:t>
      </w:r>
    </w:p>
    <w:p w:rsidR="00000000" w:rsidDel="00000000" w:rsidP="00000000" w:rsidRDefault="00000000" w:rsidRPr="00000000" w14:paraId="00000139">
      <w:pPr>
        <w:spacing w:line="360" w:lineRule="auto"/>
        <w:jc w:val="both"/>
        <w:rPr>
          <w:color w:val="222222"/>
          <w:highlight w:val="white"/>
        </w:rPr>
      </w:pPr>
      <w:r w:rsidDel="00000000" w:rsidR="00000000" w:rsidRPr="00000000">
        <w:rPr>
          <w:color w:val="222222"/>
          <w:highlight w:val="white"/>
          <w:rtl w:val="0"/>
        </w:rPr>
        <w:t xml:space="preserve">La competencia en este entorno puede llevar a las empresas a fijar precios más bajos u ofrecer condiciones más atractivas cuando actúan de forma independiente que lo que harían en un entorno donde esa competencia fue eliminada mediante una fusión. Al considerar el impacto de la competencia sobre los incentivos para fijar precios, en la medida en que los aumentos de precios de los productos de una empresa llevarían a los clientes a cambiar a productos de la otra empresa, su fusión permitirá a la empresa fusionada obtener ganancias al aumentar unilateralmente el precio de una. o ambos productos por encima del nivel previo a la fusión. Algunas de las ventas perdidas debido al aumento de precio se desviarán hacia los productos de la otra empresa, y capturar el valor de estas ventas desviadas puede hacer que el aumento de precio sea rentable aunque no lo hubiera sido antes de la fusión.</w:t>
      </w:r>
    </w:p>
    <w:p w:rsidR="00000000" w:rsidDel="00000000" w:rsidP="00000000" w:rsidRDefault="00000000" w:rsidRPr="00000000" w14:paraId="0000013A">
      <w:pPr>
        <w:spacing w:line="360" w:lineRule="auto"/>
        <w:jc w:val="both"/>
        <w:rPr>
          <w:color w:val="222222"/>
          <w:highlight w:val="white"/>
        </w:rPr>
      </w:pPr>
      <w:r w:rsidDel="00000000" w:rsidR="00000000" w:rsidRPr="00000000">
        <w:rPr>
          <w:color w:val="222222"/>
          <w:highlight w:val="white"/>
          <w:rtl w:val="0"/>
        </w:rPr>
        <w:t xml:space="preserve">Una medida de la sustitución de clientes entre empresas en este entorno es el índice de desvío. El índice de desvío de un producto a otro es una métrica de cómo los clientes probablemente sustituirían entre ellos. El índice de desvío es la fracción de las ventas unitarias perdidas por el primer producto debido a un cambio en los términos, como un aumento en su precio, que se desviaría al segundo producto. Cuanto mayor sea el índice de desvío entre dos productos fabricados por empresas diferentes, más fuerte será la competencia entre ellos.</w:t>
      </w:r>
    </w:p>
    <w:p w:rsidR="00000000" w:rsidDel="00000000" w:rsidP="00000000" w:rsidRDefault="00000000" w:rsidRPr="00000000" w14:paraId="0000013B">
      <w:pPr>
        <w:spacing w:line="360" w:lineRule="auto"/>
        <w:jc w:val="both"/>
        <w:rPr>
          <w:color w:val="222222"/>
          <w:highlight w:val="white"/>
        </w:rPr>
      </w:pPr>
      <w:r w:rsidDel="00000000" w:rsidR="00000000" w:rsidRPr="00000000">
        <w:rPr>
          <w:color w:val="222222"/>
          <w:highlight w:val="white"/>
          <w:rtl w:val="0"/>
        </w:rPr>
        <w:t xml:space="preserve">Un alto índice de desvío entre los productos propiedad de las empresas que se fusionan puede indicar una fuerte competencia entre ellas incluso si el índice de desvío hacia una empresa que no se fusiona es mayor. El índice de desvío de uno de los productos de una empresa a un grupo de productos fabricados por otras empresas, definido de manera análoga, a veces se denomina índice de desvío agregado o tasa de recaptura.</w:t>
      </w:r>
    </w:p>
    <w:p w:rsidR="00000000" w:rsidDel="00000000" w:rsidP="00000000" w:rsidRDefault="00000000" w:rsidRPr="00000000" w14:paraId="0000013C">
      <w:pPr>
        <w:spacing w:line="360" w:lineRule="auto"/>
        <w:jc w:val="both"/>
        <w:rPr>
          <w:color w:val="222222"/>
          <w:highlight w:val="white"/>
        </w:rPr>
      </w:pPr>
      <w:r w:rsidDel="00000000" w:rsidR="00000000" w:rsidRPr="00000000">
        <w:rPr>
          <w:color w:val="222222"/>
          <w:highlight w:val="white"/>
          <w:rtl w:val="0"/>
        </w:rPr>
        <w:t xml:space="preserve">Una medida del impacto de las acciones competitivas sobre los rivales es el valor de las ventas desviadas debido a un aumento de precios. El valor de las ventas desviadas de una empresa a una segunda empresa, cuando la primera aumenta el precio de uno de sus productos, es igual al número de unidades que se desviarían de la primera empresa a la segunda, multiplicado por la diferencia entre el precio de la segunda empresa y el costo incremental de las ventas desviadas. Para interpretar la magnitud del valor de las ventas desviadas, las Agencias pueden utilizar como base de comparación el costo incremental para la segunda empresa por realizar las ventas desviadas o los ingresos perdidos por la primera empresa como resultado del aumento de precio. La relación entre el valor de las ventas desviadas y los ingresos perdidos por la primera empresa puede ser un indicador de la presión al alza de precios que resultaría de la pérdida de competencia entre las dos empresas. Se pueden aplicar conceptos análogos para analizar el impacto sobre los rivales del empeoramiento de las condiciones distintas del precio.</w:t>
      </w:r>
    </w:p>
    <w:p w:rsidR="00000000" w:rsidDel="00000000" w:rsidP="00000000" w:rsidRDefault="00000000" w:rsidRPr="00000000" w14:paraId="0000013D">
      <w:pPr>
        <w:spacing w:line="360" w:lineRule="auto"/>
        <w:jc w:val="both"/>
        <w:rPr>
          <w:color w:val="222222"/>
          <w:highlight w:val="white"/>
        </w:rPr>
      </w:pPr>
      <w:r w:rsidDel="00000000" w:rsidR="00000000" w:rsidRPr="00000000">
        <w:rPr>
          <w:color w:val="222222"/>
          <w:highlight w:val="white"/>
          <w:rtl w:val="0"/>
        </w:rPr>
        <w:t xml:space="preserve">C. Consideraciones cuando los términos se fijan mediante negociación o subasta</w:t>
      </w:r>
    </w:p>
    <w:p w:rsidR="00000000" w:rsidDel="00000000" w:rsidP="00000000" w:rsidRDefault="00000000" w:rsidRPr="00000000" w14:paraId="0000013E">
      <w:pPr>
        <w:spacing w:line="360" w:lineRule="auto"/>
        <w:jc w:val="both"/>
        <w:rPr>
          <w:color w:val="222222"/>
          <w:highlight w:val="white"/>
        </w:rPr>
      </w:pPr>
      <w:r w:rsidDel="00000000" w:rsidR="00000000" w:rsidRPr="00000000">
        <w:rPr>
          <w:color w:val="222222"/>
          <w:highlight w:val="white"/>
          <w:rtl w:val="0"/>
        </w:rPr>
        <w:t xml:space="preserve">En algunas industrias, compradores y vendedores negocian precios y otros términos de intercambio. En la negociación, los compradores suelen negociar con más de un vendedor y pueden enfrentar a vendedores competidores entre sí. En otras industrias, los vendedores pueden vender sus productos o los compradores pueden adquirir insumos mediante una subasta. Las negociaciones pueden involucrar aspectos de una subasta así como aspectos de una negociación uno a uno. La competencia entre vendedores puede mejorar significativamente la capacidad de un comprador de obtener un resultado más favorable para él y menos favorable para los vendedores, en comparación con una situación en la que la eliminación de la competencia mediante una fusión impide a los compradores enfrentar a esos vendedores entre sí en negociaciones.</w:t>
      </w:r>
    </w:p>
    <w:p w:rsidR="00000000" w:rsidDel="00000000" w:rsidP="00000000" w:rsidRDefault="00000000" w:rsidRPr="00000000" w14:paraId="0000013F">
      <w:pPr>
        <w:spacing w:line="360" w:lineRule="auto"/>
        <w:jc w:val="both"/>
        <w:rPr>
          <w:color w:val="222222"/>
          <w:highlight w:val="white"/>
        </w:rPr>
      </w:pPr>
      <w:r w:rsidDel="00000000" w:rsidR="00000000" w:rsidRPr="00000000">
        <w:rPr>
          <w:color w:val="222222"/>
          <w:highlight w:val="white"/>
          <w:rtl w:val="0"/>
        </w:rPr>
        <w:t xml:space="preserve">Inicio página 6</w:t>
      </w:r>
    </w:p>
    <w:p w:rsidR="00000000" w:rsidDel="00000000" w:rsidP="00000000" w:rsidRDefault="00000000" w:rsidRPr="00000000" w14:paraId="00000140">
      <w:pPr>
        <w:spacing w:line="360" w:lineRule="auto"/>
        <w:jc w:val="both"/>
        <w:rPr>
          <w:color w:val="222222"/>
          <w:highlight w:val="white"/>
        </w:rPr>
      </w:pPr>
      <w:r w:rsidDel="00000000" w:rsidR="00000000" w:rsidRPr="00000000">
        <w:rPr>
          <w:color w:val="222222"/>
          <w:highlight w:val="white"/>
          <w:rtl w:val="0"/>
        </w:rPr>
        <w:t xml:space="preserve">Los vendedores pueden competir incluso cuando un cliente no enfrenta directamente sus ofertas entre sí. El atractivo de las opciones alternativas influye en la importancia de llegar a un acuerdo para las partes negociadoras y, por tanto, en los términos del acuerdo. Una parte que tiene muchos socios comerciales alternativos atractivos le da menos importancia a llegar a un acuerdo con un socio comercial en particular que una parte con pocas alternativas atractivas. A medida que se eliminan las alternativas para una de las partes (por ejemplo, mediante una fusión), la contraparte obtiene un poder de negociación adicional que refleja esa pérdida de competencia. Una fusión entre vendedores puede disminuir la competencia incluso si la empresa fusionada maneja las negociaciones para los productos de las empresas fusionadas por separado.</w:t>
      </w:r>
    </w:p>
    <w:p w:rsidR="00000000" w:rsidDel="00000000" w:rsidP="00000000" w:rsidRDefault="00000000" w:rsidRPr="00000000" w14:paraId="00000141">
      <w:pPr>
        <w:spacing w:line="360" w:lineRule="auto"/>
        <w:jc w:val="both"/>
        <w:rPr>
          <w:color w:val="222222"/>
          <w:highlight w:val="white"/>
        </w:rPr>
      </w:pPr>
      <w:r w:rsidDel="00000000" w:rsidR="00000000" w:rsidRPr="00000000">
        <w:rPr>
          <w:color w:val="222222"/>
          <w:highlight w:val="white"/>
          <w:rtl w:val="0"/>
        </w:rPr>
        <w:t xml:space="preserve">Por lo tanto, la evidencia cualitativa o cuantitativa sobre el apalancamiento que los proveedores competidores brindan a los compradores puede usarse para evaluar el alcance de la competencia entre empresas en este entorno. Se pueden utilizar pruebas análogas al analizar un entorno en el que los términos se fijan mediante subastas, por ejemplo, subastas de adquisiciones en las que los proveedores pujan por servir a un comprador. Si, para algunas categorías de adquisiciones, los proveedores suelen estar entre los más atractivos para el comprador, es probable que la competencia entre ellos sea fuerte.</w:t>
      </w:r>
    </w:p>
    <w:p w:rsidR="00000000" w:rsidDel="00000000" w:rsidP="00000000" w:rsidRDefault="00000000" w:rsidRPr="00000000" w14:paraId="00000142">
      <w:pPr>
        <w:spacing w:line="360" w:lineRule="auto"/>
        <w:jc w:val="both"/>
        <w:rPr>
          <w:color w:val="222222"/>
          <w:highlight w:val="white"/>
        </w:rPr>
      </w:pPr>
      <w:r w:rsidDel="00000000" w:rsidR="00000000" w:rsidRPr="00000000">
        <w:rPr>
          <w:color w:val="222222"/>
          <w:highlight w:val="white"/>
          <w:rtl w:val="0"/>
        </w:rPr>
        <w:t xml:space="preserve">A veces, las empresas mantienen registros del progreso y el resultado de los esfuerzos de ventas individuales, y las agencias pueden utilizar estos datos para generar medidas del grado en que los clientes probablemente sustituirían entre las dos empresas. Ejemplos de tales medidas podrían incluir un índice de desvío basado en la tasa a la que los clientes comprarían a una empresa si la otra no estuviera disponible, o la frecuencia con la que las dos empresas ofertan por contratos con el mismo cliente.</w:t>
      </w:r>
    </w:p>
    <w:p w:rsidR="00000000" w:rsidDel="00000000" w:rsidP="00000000" w:rsidRDefault="00000000" w:rsidRPr="00000000" w14:paraId="00000143">
      <w:pPr>
        <w:spacing w:line="360" w:lineRule="auto"/>
        <w:jc w:val="both"/>
        <w:rPr>
          <w:color w:val="222222"/>
          <w:highlight w:val="white"/>
        </w:rPr>
      </w:pPr>
      <w:r w:rsidDel="00000000" w:rsidR="00000000" w:rsidRPr="00000000">
        <w:rPr>
          <w:color w:val="222222"/>
          <w:highlight w:val="white"/>
          <w:rtl w:val="0"/>
        </w:rPr>
        <w:t xml:space="preserve">D. Consideraciones cuando las empresas determinan la capacidad y la producción</w:t>
      </w:r>
    </w:p>
    <w:p w:rsidR="00000000" w:rsidDel="00000000" w:rsidP="00000000" w:rsidRDefault="00000000" w:rsidRPr="00000000" w14:paraId="00000144">
      <w:pPr>
        <w:spacing w:line="360" w:lineRule="auto"/>
        <w:jc w:val="both"/>
        <w:rPr>
          <w:color w:val="222222"/>
          <w:highlight w:val="white"/>
        </w:rPr>
      </w:pPr>
      <w:r w:rsidDel="00000000" w:rsidR="00000000" w:rsidRPr="00000000">
        <w:rPr>
          <w:color w:val="222222"/>
          <w:highlight w:val="white"/>
          <w:rtl w:val="0"/>
        </w:rPr>
        <w:t xml:space="preserve">En algunos mercados, la elección de cuánto producir (decisiones de producción) o cuánta capacidad productiva mantener (decisiones de capacidad) son variables estratégicas clave. Cuando una empresa reduce su producción, puede perder ventas frente a sus rivales, pero también hacer subir los precios. Como una empresa fusionada tendrá en cuenta el impacto de los precios más altos en todas las ventas de las empresas fusionadas, puede tener un incentivo para disminuir la producción como resultado de la fusión. La pérdida de competencia a través de una fusión de dos empresas puede llevar a la empresa fusionada a dejar capacidad inactiva, abstenerse de construir u obtener capacidad que se habría obtenido sin la fusión, despedir o dejar de contratar trabajadores, o eliminar capacidades de producción preexistentes. Una empresa también puede desviar el uso de capacidad de un mercado relevante hacia otro mercado para aumentar el precio en el primer mercado. El análisis del grado en que las empresas compiten puede diferir dependiendo de cómo una fusión entre ellas podría crear incentivos para suprimir la producción.</w:t>
      </w:r>
    </w:p>
    <w:p w:rsidR="00000000" w:rsidDel="00000000" w:rsidP="00000000" w:rsidRDefault="00000000" w:rsidRPr="00000000" w14:paraId="00000145">
      <w:pPr>
        <w:spacing w:line="360" w:lineRule="auto"/>
        <w:jc w:val="both"/>
        <w:rPr>
          <w:color w:val="222222"/>
          <w:highlight w:val="white"/>
        </w:rPr>
      </w:pPr>
      <w:r w:rsidDel="00000000" w:rsidR="00000000" w:rsidRPr="00000000">
        <w:rPr>
          <w:color w:val="222222"/>
          <w:highlight w:val="white"/>
          <w:rtl w:val="0"/>
        </w:rPr>
        <w:t xml:space="preserve">La competencia entre empresas que se fusionan es mayor cuando (1) las cuotas de mercado de las empresas que se fusionan son relativamente altas; (2) los productos de las empresas que se fusionan son relativamente indiferenciados entre sí; (3) la elasticidad de la demanda del mercado es relativamente baja; (4) el margen sobre la producción suprimida es relativamente bajo; y (5) las respuestas de la oferta de los rivales que no se fusionan son relativamente pequeñas. Se puede utilizar evidencia cualitativa o cuantitativa para evaluar y sopesar cada uno de estos factores.</w:t>
      </w:r>
    </w:p>
    <w:p w:rsidR="00000000" w:rsidDel="00000000" w:rsidP="00000000" w:rsidRDefault="00000000" w:rsidRPr="00000000" w14:paraId="00000146">
      <w:pPr>
        <w:spacing w:line="360" w:lineRule="auto"/>
        <w:jc w:val="both"/>
        <w:rPr>
          <w:color w:val="222222"/>
          <w:highlight w:val="white"/>
        </w:rPr>
      </w:pPr>
      <w:r w:rsidDel="00000000" w:rsidR="00000000" w:rsidRPr="00000000">
        <w:rPr>
          <w:color w:val="222222"/>
          <w:highlight w:val="white"/>
          <w:rtl w:val="0"/>
        </w:rPr>
        <w:t xml:space="preserve">En algunos casos, la competencia entre empresas (incluida una empresa con una participación sustancial de las ventas en el mercado y otra con un exceso significativo de capacidad para atender ese mercado) puede impedir que una estrategia de supresión de la producción sea rentable. Esto puede ocurrir incluso si la empresa con exceso de capacidad tiene una participación relativamente pequeña en las ventas, siempre y cuando la capacidad de esa empresa para expandirse y, por lo tanto, evitar que los precios suban, haga que una estrategia de supresión de la producción no sea rentable para la empresa con la mayor participación en el mercado.</w:t>
      </w:r>
    </w:p>
    <w:p w:rsidR="00000000" w:rsidDel="00000000" w:rsidP="00000000" w:rsidRDefault="00000000" w:rsidRPr="00000000" w14:paraId="00000147">
      <w:pPr>
        <w:spacing w:line="360" w:lineRule="auto"/>
        <w:jc w:val="both"/>
        <w:rPr>
          <w:color w:val="222222"/>
          <w:highlight w:val="white"/>
        </w:rPr>
      </w:pPr>
      <w:r w:rsidDel="00000000" w:rsidR="00000000" w:rsidRPr="00000000">
        <w:rPr>
          <w:color w:val="222222"/>
          <w:highlight w:val="white"/>
          <w:rtl w:val="0"/>
        </w:rPr>
        <w:t xml:space="preserve">Inicio página 7</w:t>
      </w:r>
    </w:p>
    <w:p w:rsidR="00000000" w:rsidDel="00000000" w:rsidP="00000000" w:rsidRDefault="00000000" w:rsidRPr="00000000" w14:paraId="00000148">
      <w:pPr>
        <w:spacing w:line="360" w:lineRule="auto"/>
        <w:jc w:val="both"/>
        <w:rPr>
          <w:color w:val="222222"/>
          <w:highlight w:val="white"/>
        </w:rPr>
      </w:pPr>
      <w:r w:rsidDel="00000000" w:rsidR="00000000" w:rsidRPr="00000000">
        <w:rPr>
          <w:color w:val="222222"/>
          <w:highlight w:val="white"/>
          <w:rtl w:val="0"/>
        </w:rPr>
        <w:t xml:space="preserve">Las reducciones de producción o capacidad también pueden afectar la resiliencia del mercado frente a futuros shocks de la oferta o la demanda, y las Agencias considerarán esta pérdida de resiliencia al evaluar si la fusión puede disminuir sustancialmente la competencia o tender a crear un monopolio.</w:t>
      </w:r>
    </w:p>
    <w:p w:rsidR="00000000" w:rsidDel="00000000" w:rsidP="00000000" w:rsidRDefault="00000000" w:rsidRPr="00000000" w14:paraId="00000149">
      <w:pPr>
        <w:spacing w:line="360" w:lineRule="auto"/>
        <w:jc w:val="both"/>
        <w:rPr>
          <w:color w:val="222222"/>
          <w:highlight w:val="white"/>
        </w:rPr>
      </w:pPr>
      <w:r w:rsidDel="00000000" w:rsidR="00000000" w:rsidRPr="00000000">
        <w:rPr>
          <w:color w:val="222222"/>
          <w:highlight w:val="white"/>
          <w:rtl w:val="0"/>
        </w:rPr>
        <w:t xml:space="preserve">E. Consideraciones para la innovación y la competencia en variedad de productos</w:t>
      </w:r>
    </w:p>
    <w:p w:rsidR="00000000" w:rsidDel="00000000" w:rsidP="00000000" w:rsidRDefault="00000000" w:rsidRPr="00000000" w14:paraId="0000014A">
      <w:pPr>
        <w:spacing w:line="360" w:lineRule="auto"/>
        <w:jc w:val="both"/>
        <w:rPr>
          <w:color w:val="222222"/>
          <w:highlight w:val="white"/>
        </w:rPr>
      </w:pPr>
      <w:r w:rsidDel="00000000" w:rsidR="00000000" w:rsidRPr="00000000">
        <w:rPr>
          <w:color w:val="222222"/>
          <w:highlight w:val="white"/>
          <w:rtl w:val="0"/>
        </w:rPr>
        <w:t xml:space="preserve">Las empresas pueden competir por los clientes ofreciendo productos y características variados e innovadores, que podrían ir desde mejoras menores hasta la introducción de una nueva categoría de productos. Las características pueden incluir atributos de producto nuevos o diferentes, servicios ofrecidos junto con un producto o servicios de mayor calidad por sí solos. Los clientes valoran la variedad de productos o servicios que genera la competencia, incluyendo tener una variedad de lugares donde pueden comprar.</w:t>
      </w:r>
    </w:p>
    <w:p w:rsidR="00000000" w:rsidDel="00000000" w:rsidP="00000000" w:rsidRDefault="00000000" w:rsidRPr="00000000" w14:paraId="0000014B">
      <w:pPr>
        <w:spacing w:line="360" w:lineRule="auto"/>
        <w:jc w:val="both"/>
        <w:rPr>
          <w:color w:val="222222"/>
          <w:highlight w:val="white"/>
        </w:rPr>
      </w:pPr>
      <w:r w:rsidDel="00000000" w:rsidR="00000000" w:rsidRPr="00000000">
        <w:rPr>
          <w:color w:val="222222"/>
          <w:highlight w:val="white"/>
          <w:rtl w:val="0"/>
        </w:rPr>
        <w:t xml:space="preserve">Ofrecer la mejor combinación de productos y características es una dimensión de competencia de importancia crítica que puede verse perjudicada como resultado de la eliminación de la competencia entre las partes que se fusionan.</w:t>
      </w:r>
    </w:p>
    <w:p w:rsidR="00000000" w:rsidDel="00000000" w:rsidP="00000000" w:rsidRDefault="00000000" w:rsidRPr="00000000" w14:paraId="0000014C">
      <w:pPr>
        <w:spacing w:line="360" w:lineRule="auto"/>
        <w:jc w:val="both"/>
        <w:rPr>
          <w:color w:val="222222"/>
          <w:highlight w:val="white"/>
        </w:rPr>
      </w:pPr>
      <w:r w:rsidDel="00000000" w:rsidR="00000000" w:rsidRPr="00000000">
        <w:rPr>
          <w:color w:val="222222"/>
          <w:highlight w:val="white"/>
          <w:rtl w:val="0"/>
        </w:rPr>
        <w:t xml:space="preserve">Cuando una empresa introduce un nuevo producto o mejora las características de un producto, algunas de las ventas que obtiene pueden ser a expensas de sus rivales, incluidos los rivales que compiten para desarrollar productos y características similares. Como resultado, la competencia entre empresas puede llevarlas a hacer mayores esfuerzos para ofrecer una variedad de productos y características que lo que harían si las empresas fueran de propiedad conjunta, por ejemplo, si se fusionaran. La empresa fusionada puede tener un incentivo reducido para continuar o iniciar el desarrollo de nuevos productos que habrían competido con la otra parte fusionada, pero después de la fusión “canibalizaría” lo que serían sus propias ventas.*2 Un proveedor de servicios puede tener un incentivo reducido incentivo para continuar con las valiosas actualizaciones ofrecidas por la empresa adquirida. La empresa fusionada puede tener un incentivo reducido para participar en innovaciones disruptivas que amenazarían el negocio de una de las empresas fusionadas. O puede tener el incentivo de cambiar su combinación de productos, por ejemplo, dejando de ofrecer uno de los productos de las empresas que se fusionan.</w:t>
      </w:r>
    </w:p>
    <w:p w:rsidR="00000000" w:rsidDel="00000000" w:rsidP="00000000" w:rsidRDefault="00000000" w:rsidRPr="00000000" w14:paraId="0000014D">
      <w:pPr>
        <w:spacing w:line="360" w:lineRule="auto"/>
        <w:jc w:val="both"/>
        <w:rPr>
          <w:color w:val="222222"/>
          <w:highlight w:val="white"/>
        </w:rPr>
      </w:pPr>
      <w:r w:rsidDel="00000000" w:rsidR="00000000" w:rsidRPr="00000000">
        <w:rPr>
          <w:color w:val="222222"/>
          <w:highlight w:val="white"/>
          <w:rtl w:val="0"/>
        </w:rPr>
        <w:t xml:space="preserve">Los incentivos para competir agresivamente en innovación y variedad de productos dependen de las capacidades de las empresas y de las reacciones de los clientes ante las nuevas ofertas. El desarrollo de nuevas funciones depende de contar con la experiencia y los recursos adecuados. Cuando las empresas son dos de un pequeño número de empresas con empleados especializados, instalaciones de desarrollo, propiedad intelectual o proyectos de investigación en un área particular, la competencia entre ellas tendrá un mayor impacto en sus incentivos para innovar.</w:t>
      </w:r>
    </w:p>
    <w:p w:rsidR="00000000" w:rsidDel="00000000" w:rsidP="00000000" w:rsidRDefault="00000000" w:rsidRPr="00000000" w14:paraId="0000014E">
      <w:pPr>
        <w:spacing w:line="360" w:lineRule="auto"/>
        <w:jc w:val="both"/>
        <w:rPr>
          <w:color w:val="222222"/>
          <w:highlight w:val="white"/>
        </w:rPr>
      </w:pPr>
      <w:r w:rsidDel="00000000" w:rsidR="00000000" w:rsidRPr="00000000">
        <w:rPr>
          <w:color w:val="222222"/>
          <w:highlight w:val="white"/>
          <w:rtl w:val="0"/>
        </w:rPr>
        <w:t xml:space="preserve">La innovación puede estar dirigida a resultados más allá de las características del producto; por ejemplo, la innovación puede estar dirigida a reducir costos o adoptar nueva tecnología para la distribución de productos.</w:t>
      </w:r>
    </w:p>
    <w:p w:rsidR="00000000" w:rsidDel="00000000" w:rsidP="00000000" w:rsidRDefault="00000000" w:rsidRPr="00000000" w14:paraId="0000014F">
      <w:pPr>
        <w:spacing w:line="360" w:lineRule="auto"/>
        <w:jc w:val="both"/>
        <w:rPr>
          <w:color w:val="222222"/>
          <w:highlight w:val="white"/>
        </w:rPr>
      </w:pPr>
      <w:r w:rsidDel="00000000" w:rsidR="00000000" w:rsidRPr="00000000">
        <w:rPr>
          <w:color w:val="222222"/>
          <w:highlight w:val="white"/>
          <w:rtl w:val="0"/>
        </w:rPr>
        <w:t xml:space="preserve">Inicio página 8</w:t>
      </w:r>
    </w:p>
    <w:p w:rsidR="00000000" w:rsidDel="00000000" w:rsidP="00000000" w:rsidRDefault="00000000" w:rsidRPr="00000000" w14:paraId="00000150">
      <w:pPr>
        <w:spacing w:line="360" w:lineRule="auto"/>
        <w:jc w:val="both"/>
        <w:rPr>
          <w:color w:val="222222"/>
          <w:highlight w:val="white"/>
        </w:rPr>
      </w:pPr>
      <w:r w:rsidDel="00000000" w:rsidR="00000000" w:rsidRPr="00000000">
        <w:rPr>
          <w:color w:val="222222"/>
          <w:highlight w:val="white"/>
          <w:rtl w:val="0"/>
        </w:rPr>
        <w:t xml:space="preserve">Apéndice 3: Detalles de la definición del mercado</w:t>
      </w:r>
    </w:p>
    <w:p w:rsidR="00000000" w:rsidDel="00000000" w:rsidP="00000000" w:rsidRDefault="00000000" w:rsidRPr="00000000" w14:paraId="00000151">
      <w:pPr>
        <w:spacing w:line="360" w:lineRule="auto"/>
        <w:jc w:val="both"/>
        <w:rPr>
          <w:color w:val="222222"/>
          <w:highlight w:val="white"/>
        </w:rPr>
      </w:pPr>
      <w:r w:rsidDel="00000000" w:rsidR="00000000" w:rsidRPr="00000000">
        <w:rPr>
          <w:color w:val="222222"/>
          <w:highlight w:val="white"/>
          <w:rtl w:val="0"/>
        </w:rPr>
        <w:t xml:space="preserve">La Sección III de estas Directrices describe varios enfoques que pueden utilizarse para definir los mercados. En este apéndice, analizamos con más detalle varios detalles de la definición del mercado. El Apéndice 3.A describe uno de los enfoques, la prueba del monopolista hipotético, con mayor detalle. El Apéndice 3.B aborda cuestiones que pueden surgir al definir los mercados antimonopolio en una serie de escenarios específicos.</w:t>
      </w:r>
    </w:p>
    <w:p w:rsidR="00000000" w:rsidDel="00000000" w:rsidP="00000000" w:rsidRDefault="00000000" w:rsidRPr="00000000" w14:paraId="00000152">
      <w:pPr>
        <w:spacing w:line="360" w:lineRule="auto"/>
        <w:jc w:val="both"/>
        <w:rPr>
          <w:color w:val="222222"/>
          <w:highlight w:val="white"/>
        </w:rPr>
      </w:pPr>
      <w:r w:rsidDel="00000000" w:rsidR="00000000" w:rsidRPr="00000000">
        <w:rPr>
          <w:color w:val="222222"/>
          <w:highlight w:val="white"/>
          <w:rtl w:val="0"/>
        </w:rPr>
        <w:t xml:space="preserve">A. La prueba del monopolio hipotético</w:t>
      </w:r>
    </w:p>
    <w:p w:rsidR="00000000" w:rsidDel="00000000" w:rsidP="00000000" w:rsidRDefault="00000000" w:rsidRPr="00000000" w14:paraId="00000153">
      <w:pPr>
        <w:spacing w:line="360" w:lineRule="auto"/>
        <w:jc w:val="both"/>
        <w:rPr>
          <w:color w:val="222222"/>
          <w:highlight w:val="white"/>
        </w:rPr>
      </w:pPr>
      <w:r w:rsidDel="00000000" w:rsidR="00000000" w:rsidRPr="00000000">
        <w:rPr>
          <w:color w:val="222222"/>
          <w:highlight w:val="white"/>
          <w:rtl w:val="0"/>
        </w:rPr>
        <w:t xml:space="preserve">Esta Sección describe la Prueba del Monopolista Hipotético, que es un método mediante el cual las Agencias suelen definir los mercados antimonopolio. Como se describe en la Sección III de estas Directrices, un mercado antimonopolio relevante es un área de competencia efectiva. La Prueba Hipotética de Monopolista/Monopsonista (“HMT”) evalúa si un grupo de productos es lo suficientemente amplio como para constituir un mercado antimonopolio relevante. Para ello, el HMT se pregunta si eliminar la competencia entre el grupo de productos combinándolos bajo el control de un hipotético monopolista probablemente conduciría a un empeoramiento de las condiciones para los clientes. Las Agencias generalmente centran su evaluación en las limitaciones de la competencia, más que en las limitaciones de la regulación, la entrada u otros cambios en el mercado. Las Agencias están preocupadas por el impacto sobre los incentivos económicos y suponen que el hipotético monopolista buscaría maximizar las ganancias.</w:t>
      </w:r>
    </w:p>
    <w:p w:rsidR="00000000" w:rsidDel="00000000" w:rsidP="00000000" w:rsidRDefault="00000000" w:rsidRPr="00000000" w14:paraId="00000154">
      <w:pPr>
        <w:spacing w:line="360" w:lineRule="auto"/>
        <w:jc w:val="both"/>
        <w:rPr>
          <w:color w:val="222222"/>
          <w:highlight w:val="white"/>
        </w:rPr>
      </w:pPr>
      <w:r w:rsidDel="00000000" w:rsidR="00000000" w:rsidRPr="00000000">
        <w:rPr>
          <w:color w:val="222222"/>
          <w:highlight w:val="white"/>
          <w:rtl w:val="0"/>
        </w:rPr>
        <w:t xml:space="preserve">Al evaluar una fusión de vendedores, el HMT pregunta si una empresa hipotética maximizadora de ganancias, a la que la regulación no le impide empeorar las condiciones, que fuera el único vendedor presente y futuro de un grupo de productos (“monopolista hipotético”) probablemente emprendería al menos una fusión. aumento pequeño pero significativo y no transitorio del precio (“SSNIP”) u otro empeoramiento de las condiciones (“SSNIPT”) para al menos un producto del grupo.*3 A los efectos de analizar esta cuestión, las condiciones de venta de los productos fuera del mercado candidato se mantienen constantes. De manera análoga, al considerar una fusión de compradores, las Agencias plantean la pregunta equivalente a un hipotético monopsonista. Este Apéndice a menudo se centra en la fusión de vendedores para simplificar la exposición.</w:t>
      </w:r>
    </w:p>
    <w:p w:rsidR="00000000" w:rsidDel="00000000" w:rsidP="00000000" w:rsidRDefault="00000000" w:rsidRPr="00000000" w14:paraId="00000155">
      <w:pPr>
        <w:spacing w:line="360" w:lineRule="auto"/>
        <w:jc w:val="both"/>
        <w:rPr>
          <w:color w:val="222222"/>
          <w:highlight w:val="white"/>
        </w:rPr>
      </w:pPr>
      <w:r w:rsidDel="00000000" w:rsidR="00000000" w:rsidRPr="00000000">
        <w:rPr>
          <w:color w:val="222222"/>
          <w:highlight w:val="white"/>
          <w:rtl w:val="0"/>
        </w:rPr>
        <w:t xml:space="preserve">1. Implementación de la prueba del monopolista hipotético</w:t>
      </w:r>
    </w:p>
    <w:p w:rsidR="00000000" w:rsidDel="00000000" w:rsidP="00000000" w:rsidRDefault="00000000" w:rsidRPr="00000000" w14:paraId="00000156">
      <w:pPr>
        <w:spacing w:line="360" w:lineRule="auto"/>
        <w:jc w:val="both"/>
        <w:rPr>
          <w:color w:val="222222"/>
          <w:highlight w:val="white"/>
        </w:rPr>
      </w:pPr>
      <w:r w:rsidDel="00000000" w:rsidR="00000000" w:rsidRPr="00000000">
        <w:rPr>
          <w:color w:val="222222"/>
          <w:highlight w:val="white"/>
          <w:rtl w:val="0"/>
        </w:rPr>
        <w:t xml:space="preserve">El SSNIPT. Un SSNIPT puede implicar un empeoramiento de las condiciones en cualquier dimensión de la competencia, incluido el precio (SSNIP), pero también otros términos (definidos en sentido amplio) como calidad, servicio, inversión en capacidad, elección de variedad o características de productos o esfuerzo innovador. Mercados de insumos y trabajo. Cuando la competencia en cuestión involucra a empresas que compran insumos o emplean mano de obra, el HMT considera si el hipotético monopsonista emprendería al menos</w:t>
      </w:r>
    </w:p>
    <w:p w:rsidR="00000000" w:rsidDel="00000000" w:rsidP="00000000" w:rsidRDefault="00000000" w:rsidRPr="00000000" w14:paraId="00000157">
      <w:pPr>
        <w:spacing w:line="360" w:lineRule="auto"/>
        <w:jc w:val="both"/>
        <w:rPr>
          <w:color w:val="222222"/>
          <w:highlight w:val="white"/>
        </w:rPr>
      </w:pPr>
      <w:r w:rsidDel="00000000" w:rsidR="00000000" w:rsidRPr="00000000">
        <w:rPr>
          <w:color w:val="222222"/>
          <w:highlight w:val="white"/>
          <w:rtl w:val="0"/>
        </w:rPr>
        <w:t xml:space="preserve">Inicio página 9</w:t>
      </w:r>
    </w:p>
    <w:p w:rsidR="00000000" w:rsidDel="00000000" w:rsidP="00000000" w:rsidRDefault="00000000" w:rsidRPr="00000000" w14:paraId="00000158">
      <w:pPr>
        <w:spacing w:line="360" w:lineRule="auto"/>
        <w:jc w:val="both"/>
        <w:rPr>
          <w:color w:val="222222"/>
          <w:highlight w:val="white"/>
        </w:rPr>
      </w:pPr>
      <w:r w:rsidDel="00000000" w:rsidR="00000000" w:rsidRPr="00000000">
        <w:rPr>
          <w:color w:val="222222"/>
          <w:highlight w:val="white"/>
          <w:rtl w:val="0"/>
        </w:rPr>
        <w:t xml:space="preserve">al menos un SSNIPT, como una disminución en el precio ofrecido o un empeoramiento de los términos de intercambio ofrecidos a los proveedores, o una disminución en el salario ofrecido a los trabajadores o un empeoramiento de sus condiciones o beneficios laborales.</w:t>
      </w:r>
    </w:p>
    <w:p w:rsidR="00000000" w:rsidDel="00000000" w:rsidP="00000000" w:rsidRDefault="00000000" w:rsidRPr="00000000" w14:paraId="00000159">
      <w:pPr>
        <w:spacing w:line="360" w:lineRule="auto"/>
        <w:jc w:val="both"/>
        <w:rPr>
          <w:color w:val="222222"/>
          <w:highlight w:val="white"/>
        </w:rPr>
      </w:pPr>
      <w:r w:rsidDel="00000000" w:rsidR="00000000" w:rsidRPr="00000000">
        <w:rPr>
          <w:color w:val="222222"/>
          <w:highlight w:val="white"/>
          <w:rtl w:val="0"/>
        </w:rPr>
        <w:t xml:space="preserve">La dimensión geográfica del mercado. La prueba del monopolista hipotético generalmente se aplica a un grupo de productos junto con una región geográfica para determinar un mercado relevante, aunque para facilitar la exposición las dos dimensiones se analizan por separado, y la definición del mercado geográfico se analiza en el Apéndice 3.B.2.</w:t>
      </w:r>
    </w:p>
    <w:p w:rsidR="00000000" w:rsidDel="00000000" w:rsidP="00000000" w:rsidRDefault="00000000" w:rsidRPr="00000000" w14:paraId="0000015A">
      <w:pPr>
        <w:spacing w:line="360" w:lineRule="auto"/>
        <w:jc w:val="both"/>
        <w:rPr>
          <w:color w:val="222222"/>
          <w:highlight w:val="white"/>
        </w:rPr>
      </w:pPr>
      <w:r w:rsidDel="00000000" w:rsidR="00000000" w:rsidRPr="00000000">
        <w:rPr>
          <w:color w:val="222222"/>
          <w:highlight w:val="white"/>
          <w:rtl w:val="0"/>
        </w:rPr>
        <w:t xml:space="preserve">Negociaciones o Subastas. Para mayor claridad, el HMT se expresa en términos de un monopolista hipotético que emprende un SSNIPT. Esto incluye al hipotético monopolista que impone un aumento de precio, pero también se aplica a los casos en que los términos son el resultado de una negociación o una subasta.</w:t>
      </w:r>
    </w:p>
    <w:p w:rsidR="00000000" w:rsidDel="00000000" w:rsidP="00000000" w:rsidRDefault="00000000" w:rsidRPr="00000000" w14:paraId="0000015B">
      <w:pPr>
        <w:spacing w:line="360" w:lineRule="auto"/>
        <w:jc w:val="both"/>
        <w:rPr>
          <w:color w:val="222222"/>
          <w:highlight w:val="white"/>
        </w:rPr>
      </w:pPr>
      <w:r w:rsidDel="00000000" w:rsidR="00000000" w:rsidRPr="00000000">
        <w:rPr>
          <w:color w:val="222222"/>
          <w:highlight w:val="white"/>
          <w:rtl w:val="0"/>
        </w:rPr>
        <w:t xml:space="preserve">Punto de referencia para el SSNIPT. El HMT pregunta si el hipotético monopolista probablemente empeoraría las condiciones en relación con las que probablemente prevalecerían sin la fusión propuesta. En algunos casos, las Agencias utilizarán como punto de referencia resultados diferentes a los que prevalecían antes de la fusión. Por ejemplo, si es probable que los resultados cambien sin la fusión, por ejemplo, debido a innovación, entrada, salida o tendencias exógenas, las Agencias pueden utilizar resultados futuros anticipados como punto de referencia. O si los proveedores en el mercado se están coordinando antes de la fusión, las Agencias pueden utilizar un punto de referencia que refleje las condiciones que surgirían si la coordinación fallara. Al evaluar si una empresa que se fusiona es dominante (Pauta 7), las Agencias pueden utilizar como punto de referencia términos que probablemente prevalecerían en un mercado más competitivo.*4</w:t>
      </w:r>
    </w:p>
    <w:p w:rsidR="00000000" w:rsidDel="00000000" w:rsidP="00000000" w:rsidRDefault="00000000" w:rsidRPr="00000000" w14:paraId="0000015C">
      <w:pPr>
        <w:spacing w:line="360" w:lineRule="auto"/>
        <w:jc w:val="both"/>
        <w:rPr>
          <w:color w:val="222222"/>
          <w:highlight w:val="white"/>
        </w:rPr>
      </w:pPr>
      <w:r w:rsidDel="00000000" w:rsidR="00000000" w:rsidRPr="00000000">
        <w:rPr>
          <w:color w:val="222222"/>
          <w:highlight w:val="white"/>
          <w:rtl w:val="0"/>
        </w:rPr>
        <w:t xml:space="preserve">Magnitud del SSNIPT. Lo que constituye un empeoramiento “pequeño pero significativo” de las condiciones depende de la naturaleza de la industria y de las posiciones de las empresas que se fusionan en ella, las formas en que compiten las empresas y la dimensión de la competencia en cuestión. Al considerar el precio, las Agencias suelen utilizar un SSNIP del cinco por ciento del precio cobrado por las empresas por los productos o servicios a los que las empresas fusionadas aportan valor. Las Agencias, sin embargo, pueden considerar un plazo diferente o un aumento de precio mayor o menor al cinco por ciento.*5</w:t>
      </w:r>
    </w:p>
    <w:p w:rsidR="00000000" w:rsidDel="00000000" w:rsidP="00000000" w:rsidRDefault="00000000" w:rsidRPr="00000000" w14:paraId="0000015D">
      <w:pPr>
        <w:spacing w:line="360" w:lineRule="auto"/>
        <w:jc w:val="both"/>
        <w:rPr>
          <w:color w:val="222222"/>
          <w:highlight w:val="white"/>
        </w:rPr>
      </w:pPr>
      <w:r w:rsidDel="00000000" w:rsidR="00000000" w:rsidRPr="00000000">
        <w:rPr>
          <w:color w:val="222222"/>
          <w:highlight w:val="white"/>
          <w:rtl w:val="0"/>
        </w:rPr>
        <w:t xml:space="preserve">Las Agencias pueden basar un SSNIP en precios explícitos o implícitos de la contribución específica de las empresas al valor del producto vendido, o en un límite superior de la contribución específica de las empresas, cuando estos puedan identificarse con razonable claridad. Por ejemplo, las Agencias pueden derivar un precio implícito por el servicio de transporte de petróleo a través de un oleoducto como la diferencia entre el precio que la empresa del oleoducto pagó por el petróleo en un extremo y el precio al que vendió el petróleo en el otro y basar el SSNIP en este precio implícito.</w:t>
      </w:r>
    </w:p>
    <w:p w:rsidR="00000000" w:rsidDel="00000000" w:rsidP="00000000" w:rsidRDefault="00000000" w:rsidRPr="00000000" w14:paraId="0000015E">
      <w:pPr>
        <w:spacing w:line="360" w:lineRule="auto"/>
        <w:jc w:val="both"/>
        <w:rPr>
          <w:color w:val="222222"/>
          <w:highlight w:val="white"/>
        </w:rPr>
      </w:pPr>
      <w:r w:rsidDel="00000000" w:rsidR="00000000" w:rsidRPr="00000000">
        <w:rPr>
          <w:color w:val="222222"/>
          <w:highlight w:val="white"/>
          <w:rtl w:val="0"/>
        </w:rPr>
        <w:t xml:space="preserve">Inicio página 10</w:t>
      </w:r>
    </w:p>
    <w:p w:rsidR="00000000" w:rsidDel="00000000" w:rsidP="00000000" w:rsidRDefault="00000000" w:rsidRPr="00000000" w14:paraId="0000015F">
      <w:pPr>
        <w:spacing w:line="360" w:lineRule="auto"/>
        <w:jc w:val="both"/>
        <w:rPr>
          <w:color w:val="222222"/>
          <w:highlight w:val="white"/>
        </w:rPr>
      </w:pPr>
      <w:r w:rsidDel="00000000" w:rsidR="00000000" w:rsidRPr="00000000">
        <w:rPr>
          <w:color w:val="222222"/>
          <w:highlight w:val="white"/>
          <w:rtl w:val="0"/>
        </w:rPr>
        <w:t xml:space="preserve">2. Evidencia y herramientas para llevar a cabo la prueba del monopolista hipotético</w:t>
      </w:r>
    </w:p>
    <w:p w:rsidR="00000000" w:rsidDel="00000000" w:rsidP="00000000" w:rsidRDefault="00000000" w:rsidRPr="00000000" w14:paraId="00000160">
      <w:pPr>
        <w:spacing w:line="360" w:lineRule="auto"/>
        <w:jc w:val="both"/>
        <w:rPr>
          <w:color w:val="222222"/>
          <w:highlight w:val="white"/>
        </w:rPr>
      </w:pPr>
      <w:r w:rsidDel="00000000" w:rsidR="00000000" w:rsidRPr="00000000">
        <w:rPr>
          <w:color w:val="222222"/>
          <w:highlight w:val="white"/>
          <w:rtl w:val="0"/>
        </w:rPr>
        <w:t xml:space="preserve">El Apéndice 2 describe algunas de las pruebas y herramientas cualitativas y cuantitativas que las Agencias pueden utilizar para evaluar el alcance de la competencia entre dos empresas. Las Agencias pueden utilizar evidencia similar y herramientas análogas para aplicar el HMT, en particular para evaluar si la competencia entre un conjunto de empresas probablemente conduce a mejores condiciones que las que adoptaría un monopolista hipotético.</w:t>
      </w:r>
    </w:p>
    <w:p w:rsidR="00000000" w:rsidDel="00000000" w:rsidP="00000000" w:rsidRDefault="00000000" w:rsidRPr="00000000" w14:paraId="00000161">
      <w:pPr>
        <w:spacing w:line="360" w:lineRule="auto"/>
        <w:jc w:val="both"/>
        <w:rPr>
          <w:color w:val="222222"/>
          <w:highlight w:val="white"/>
        </w:rPr>
      </w:pPr>
      <w:r w:rsidDel="00000000" w:rsidR="00000000" w:rsidRPr="00000000">
        <w:rPr>
          <w:color w:val="222222"/>
          <w:highlight w:val="white"/>
          <w:rtl w:val="0"/>
        </w:rPr>
        <w:t xml:space="preserve">Las Agencias a veces interpretan la evidencia cualitativa y cuantitativa utilizando un modelo económico de rentabilidad para el monopolista hipotético de realizar al menos un SSNIP sobre uno o más productos en el mercado candidato; Las Agencias pueden adaptar estas herramientas para aplicarlas a otras formas de SSNIPT.</w:t>
      </w:r>
    </w:p>
    <w:p w:rsidR="00000000" w:rsidDel="00000000" w:rsidP="00000000" w:rsidRDefault="00000000" w:rsidRPr="00000000" w14:paraId="00000162">
      <w:pPr>
        <w:spacing w:line="360" w:lineRule="auto"/>
        <w:jc w:val="both"/>
        <w:rPr>
          <w:color w:val="222222"/>
          <w:highlight w:val="white"/>
        </w:rPr>
      </w:pPr>
      <w:r w:rsidDel="00000000" w:rsidR="00000000" w:rsidRPr="00000000">
        <w:rPr>
          <w:color w:val="222222"/>
          <w:highlight w:val="white"/>
          <w:rtl w:val="0"/>
        </w:rPr>
        <w:t xml:space="preserve">Un enfoque utiliza el concepto de “tasa de recuperación” (el porcentaje de ventas perdidas por un producto en el mercado candidato, cuando su precio aumenta por sí solo, que es recuperado por otros productos en el mercado candidato). Un aumento de precio es rentable cuando la tasa de recuperación es lo suficientemente alta como para que las ganancias incrementales del precio aumentado más las ganancias incrementales de las ventas recuperadas que se destinan a otros productos en el mercado candidato excedan las ganancias perdidas cuando las ventas se desvían fuera del mercado candidato. Es posible que un aumento de precio sea rentable incluso si la mayoría de las ventas se desvían fuera del mercado candidato, por ejemplo si los beneficios de las ventas perdidas son relativamente bajos o los beneficios de las ventas recuperadas son relativamente altos.</w:t>
      </w:r>
    </w:p>
    <w:p w:rsidR="00000000" w:rsidDel="00000000" w:rsidP="00000000" w:rsidRDefault="00000000" w:rsidRPr="00000000" w14:paraId="00000163">
      <w:pPr>
        <w:spacing w:line="360" w:lineRule="auto"/>
        <w:jc w:val="both"/>
        <w:rPr>
          <w:color w:val="222222"/>
          <w:highlight w:val="white"/>
        </w:rPr>
      </w:pPr>
      <w:r w:rsidDel="00000000" w:rsidR="00000000" w:rsidRPr="00000000">
        <w:rPr>
          <w:color w:val="222222"/>
          <w:highlight w:val="white"/>
          <w:rtl w:val="0"/>
        </w:rPr>
        <w:t xml:space="preserve">A veces, la evidencia se presenta en forma de “análisis crítico de pérdidas”, que puede usarse para evaluar si imponer al menos un SSNIP a uno o más productos en un mercado candidato aumentaría o disminuiría las ganancias del hipotético monopolista. El análisis crítico de pérdidas compara la magnitud de los dos efectos compensadores resultantes del aumento de precios. La “pérdida crítica” se define como el número de ventas unitarias perdidas que dejarían las ganancias sin cambios. La “pérdida prevista” se define como el número de unidades vendidas que se prevé que el monopolista hipotético perderá debido al aumento de precio. El aumento de precio aumenta las ganancias del hipotético monopolista si la pérdida prevista es menor que la pérdida crítica. Aumentos de precios mayores o menores pueden ser incluso más rentables o es más probable que los implemente el monopolista hipotético.</w:t>
      </w:r>
    </w:p>
    <w:p w:rsidR="00000000" w:rsidDel="00000000" w:rsidP="00000000" w:rsidRDefault="00000000" w:rsidRPr="00000000" w14:paraId="00000164">
      <w:pPr>
        <w:spacing w:line="360" w:lineRule="auto"/>
        <w:jc w:val="both"/>
        <w:rPr>
          <w:color w:val="222222"/>
          <w:highlight w:val="white"/>
        </w:rPr>
      </w:pPr>
      <w:r w:rsidDel="00000000" w:rsidR="00000000" w:rsidRPr="00000000">
        <w:rPr>
          <w:color w:val="222222"/>
          <w:highlight w:val="white"/>
          <w:rtl w:val="0"/>
        </w:rPr>
        <w:t xml:space="preserve">Las Agencias exigen que las estimaciones de la pérdida prevista sean coherentes con otras pruebas, incluidos los márgenes previos a la fusión de los productos en el mercado candidato utilizados para calcular la pérdida crítica. A menos que las empresas participen en una interacción coordinada, los altos márgenes previos a la fusión normalmente indican que el producto de cada empresa enfrenta individualmente una demanda que no es muy sensible al precio. Por lo tanto, unos márgenes previos a la fusión más altos indican una pérdida prevista más pequeña, así como una pérdida crítica más pequeña. Cuanto mayor sea el margen previo a la fusión, menor será la tasa de recaptura*6 necesaria para que el mercado candidato satisfaga la prueba del monopolio hipotético. Consideraciones similares informan otros análisis de la rentabilidad de un aumento de precios.</w:t>
      </w:r>
    </w:p>
    <w:p w:rsidR="00000000" w:rsidDel="00000000" w:rsidP="00000000" w:rsidRDefault="00000000" w:rsidRPr="00000000" w14:paraId="00000165">
      <w:pPr>
        <w:spacing w:line="360" w:lineRule="auto"/>
        <w:jc w:val="both"/>
        <w:rPr>
          <w:color w:val="222222"/>
          <w:highlight w:val="white"/>
        </w:rPr>
      </w:pPr>
      <w:r w:rsidDel="00000000" w:rsidR="00000000" w:rsidRPr="00000000">
        <w:rPr>
          <w:color w:val="222222"/>
          <w:highlight w:val="white"/>
          <w:rtl w:val="0"/>
        </w:rPr>
        <w:t xml:space="preserve">B. Definición del mercado en ciertos entornos específicos</w:t>
      </w:r>
    </w:p>
    <w:p w:rsidR="00000000" w:rsidDel="00000000" w:rsidP="00000000" w:rsidRDefault="00000000" w:rsidRPr="00000000" w14:paraId="00000166">
      <w:pPr>
        <w:spacing w:line="360" w:lineRule="auto"/>
        <w:jc w:val="both"/>
        <w:rPr>
          <w:color w:val="222222"/>
          <w:highlight w:val="white"/>
        </w:rPr>
      </w:pPr>
      <w:r w:rsidDel="00000000" w:rsidR="00000000" w:rsidRPr="00000000">
        <w:rPr>
          <w:color w:val="222222"/>
          <w:highlight w:val="white"/>
          <w:rtl w:val="0"/>
        </w:rPr>
        <w:t xml:space="preserve">Este Apéndice proporciona detalles sobre la definición del mercado en varios entornos comunes específicos. En gran parte de esta sección, se presentan conceptos para el escenario donde la fusión involucra</w:t>
      </w:r>
    </w:p>
    <w:p w:rsidR="00000000" w:rsidDel="00000000" w:rsidP="00000000" w:rsidRDefault="00000000" w:rsidRPr="00000000" w14:paraId="00000167">
      <w:pPr>
        <w:spacing w:line="360" w:lineRule="auto"/>
        <w:jc w:val="both"/>
        <w:rPr>
          <w:color w:val="222222"/>
          <w:highlight w:val="white"/>
        </w:rPr>
      </w:pPr>
      <w:r w:rsidDel="00000000" w:rsidR="00000000" w:rsidRPr="00000000">
        <w:rPr>
          <w:color w:val="222222"/>
          <w:highlight w:val="white"/>
          <w:rtl w:val="0"/>
        </w:rPr>
        <w:t xml:space="preserve">Inicio página 11</w:t>
      </w:r>
    </w:p>
    <w:p w:rsidR="00000000" w:rsidDel="00000000" w:rsidP="00000000" w:rsidRDefault="00000000" w:rsidRPr="00000000" w14:paraId="00000168">
      <w:pPr>
        <w:spacing w:line="360" w:lineRule="auto"/>
        <w:jc w:val="both"/>
        <w:rPr>
          <w:color w:val="222222"/>
          <w:highlight w:val="white"/>
        </w:rPr>
      </w:pPr>
      <w:r w:rsidDel="00000000" w:rsidR="00000000" w:rsidRPr="00000000">
        <w:rPr>
          <w:color w:val="222222"/>
          <w:highlight w:val="white"/>
          <w:rtl w:val="0"/>
        </w:rPr>
        <w:t xml:space="preserve">vendedores. En algunos casos, se proporcionan aclaraciones sobre cómo se aplican los conceptos a los compradores que se fusionan; en general, los conceptos se aplican de forma análoga.</w:t>
      </w:r>
    </w:p>
    <w:p w:rsidR="00000000" w:rsidDel="00000000" w:rsidP="00000000" w:rsidRDefault="00000000" w:rsidRPr="00000000" w14:paraId="00000169">
      <w:pPr>
        <w:spacing w:line="360" w:lineRule="auto"/>
        <w:jc w:val="both"/>
        <w:rPr>
          <w:color w:val="222222"/>
          <w:highlight w:val="white"/>
        </w:rPr>
      </w:pPr>
      <w:r w:rsidDel="00000000" w:rsidR="00000000" w:rsidRPr="00000000">
        <w:rPr>
          <w:color w:val="222222"/>
          <w:highlight w:val="white"/>
          <w:rtl w:val="0"/>
        </w:rPr>
        <w:t xml:space="preserve">1. Socios comerciales específicos</w:t>
      </w:r>
    </w:p>
    <w:p w:rsidR="00000000" w:rsidDel="00000000" w:rsidP="00000000" w:rsidRDefault="00000000" w:rsidRPr="00000000" w14:paraId="0000016A">
      <w:pPr>
        <w:spacing w:line="360" w:lineRule="auto"/>
        <w:jc w:val="both"/>
        <w:rPr>
          <w:color w:val="222222"/>
          <w:highlight w:val="white"/>
        </w:rPr>
      </w:pPr>
      <w:r w:rsidDel="00000000" w:rsidR="00000000" w:rsidRPr="00000000">
        <w:rPr>
          <w:color w:val="222222"/>
          <w:highlight w:val="white"/>
          <w:rtl w:val="0"/>
        </w:rPr>
        <w:t xml:space="preserve">Si la empresa fusionada pudiera dirigirse de manera rentable a un subconjunto de clientes en función de cambios en los precios u otras condiciones, las Agencias podrían identificar mercados relevantes definidos en torno a esos clientes objetivo. Las Agencias pueden hacerlo incluso si las empresas no se dirigen actualmente a grupos de clientes específicos, pero podrían hacerlo después de la fusión.</w:t>
      </w:r>
    </w:p>
    <w:p w:rsidR="00000000" w:rsidDel="00000000" w:rsidP="00000000" w:rsidRDefault="00000000" w:rsidRPr="00000000" w14:paraId="0000016B">
      <w:pPr>
        <w:spacing w:line="360" w:lineRule="auto"/>
        <w:jc w:val="both"/>
        <w:rPr>
          <w:color w:val="222222"/>
          <w:highlight w:val="white"/>
        </w:rPr>
      </w:pPr>
      <w:r w:rsidDel="00000000" w:rsidR="00000000" w:rsidRPr="00000000">
        <w:rPr>
          <w:color w:val="222222"/>
          <w:highlight w:val="white"/>
          <w:rtl w:val="0"/>
        </w:rPr>
        <w:t xml:space="preserve">Para que la focalización sea factible, normalmente deben cumplirse dos condiciones. En primer lugar, los proveedores que participan en la focalización deben poder establecer términos diferentes para los clientes objetivo que para otros clientes. Esto puede implicar la identificación de clientes individuales a los que se ofrecen diferentes términos u ofrecer diferentes términos a diferentes tipos de clientes basándose en características observables.*7 Los mercados para los clientes objetivo no necesitan tener medidas y límites precisos. En particular, definir un mercado relevante para los clientes objetivo a veces requiere un ejercicio de delimitación de características observables. Puede haber muchos lugares para trazar esa línea y definir adecuadamente un mercado relevante. En segundo lugar, no debe ser probable que los clientes objetivo frustren un empeoramiento de las condiciones mediante el arbitraje (por ejemplo, comprando indirectamente a otros clientes o a través de ellos). El arbitraje puede ser difícil si anula las garantías o hace que el servicio sea más difícil o costoso para los clientes, y es inherentemente imposible para muchos servicios. El arbitraje a escala modesta puede ser posible, pero lo suficientemente costoso o limitado, por ejemplo debido a los costos de transacción o de búsqueda, como para que no impida o frustre una estrategia de precios discriminatoria.</w:t>
      </w:r>
    </w:p>
    <w:p w:rsidR="00000000" w:rsidDel="00000000" w:rsidP="00000000" w:rsidRDefault="00000000" w:rsidRPr="00000000" w14:paraId="0000016C">
      <w:pPr>
        <w:spacing w:line="360" w:lineRule="auto"/>
        <w:jc w:val="both"/>
        <w:rPr>
          <w:color w:val="222222"/>
          <w:highlight w:val="white"/>
        </w:rPr>
      </w:pPr>
      <w:r w:rsidDel="00000000" w:rsidR="00000000" w:rsidRPr="00000000">
        <w:rPr>
          <w:color w:val="222222"/>
          <w:highlight w:val="white"/>
          <w:rtl w:val="0"/>
        </w:rPr>
        <w:t xml:space="preserve">Si los precios se negocian o se fijan individualmente, por ejemplo mediante una subasta de adquisiciones, puede haber mercados relevantes que sean tan estrechos como los de un cliente individual. No obstante, por conveniencia analítica, las Agencias pueden definir mercados agrupados para grupos de clientes objetivo para quienes las condiciones de competencia son razonablemente similares. (Consulte el Apéndice 3.B.4 para obtener más información sobre los mercados de clústeres).</w:t>
      </w:r>
    </w:p>
    <w:p w:rsidR="00000000" w:rsidDel="00000000" w:rsidP="00000000" w:rsidRDefault="00000000" w:rsidRPr="00000000" w14:paraId="0000016D">
      <w:pPr>
        <w:spacing w:line="360" w:lineRule="auto"/>
        <w:jc w:val="both"/>
        <w:rPr>
          <w:color w:val="222222"/>
          <w:highlight w:val="white"/>
        </w:rPr>
      </w:pPr>
      <w:r w:rsidDel="00000000" w:rsidR="00000000" w:rsidRPr="00000000">
        <w:rPr>
          <w:color w:val="222222"/>
          <w:highlight w:val="white"/>
          <w:rtl w:val="0"/>
        </w:rPr>
        <w:t xml:space="preserve">Consideraciones análogas surgen en el caso de una fusión en la que participan uno o más compradores o empleadores. En este caso, el análisis considera si los compradores se dirigen a los proveedores, por ejemplo pagando menos a los proveedores o trabajadores específicos, o degradando los términos de los contratos de suministro para los proveedores específicos. El arbitraje implicaría que un proveedor específico venda al comprador indirectamente, a través de un proveedor diferente que podría obtener condiciones más favorables del comprador.</w:t>
      </w:r>
    </w:p>
    <w:p w:rsidR="00000000" w:rsidDel="00000000" w:rsidP="00000000" w:rsidRDefault="00000000" w:rsidRPr="00000000" w14:paraId="0000016E">
      <w:pPr>
        <w:spacing w:line="360" w:lineRule="auto"/>
        <w:jc w:val="both"/>
        <w:rPr>
          <w:color w:val="222222"/>
          <w:highlight w:val="white"/>
        </w:rPr>
      </w:pPr>
      <w:r w:rsidDel="00000000" w:rsidR="00000000" w:rsidRPr="00000000">
        <w:rPr>
          <w:color w:val="222222"/>
          <w:highlight w:val="white"/>
          <w:rtl w:val="0"/>
        </w:rPr>
        <w:t xml:space="preserve">Si el HMT se aplica en un entorno donde es factible dirigirse a los clientes, requiere que una empresa hipotética maximizadora de ganancias que fuera el único vendedor presente o futuro del producto(s) relevante(s) a los clientes del grupo objetivo emprendería al menos una SSNIPT en algunos, aunque no necesariamente en todos, los clientes de ese grupo. Los productos vendidos a esos clientes forman un mercado relevante si el monopolista hipotético probablemente emprendería al menos un SSNIPT a pesar de la posibilidad de que los clientes sustituyan el producto o aprovechen el arbitraje.</w:t>
      </w:r>
    </w:p>
    <w:p w:rsidR="00000000" w:rsidDel="00000000" w:rsidP="00000000" w:rsidRDefault="00000000" w:rsidRPr="00000000" w14:paraId="0000016F">
      <w:pPr>
        <w:spacing w:line="360" w:lineRule="auto"/>
        <w:jc w:val="both"/>
        <w:rPr>
          <w:color w:val="222222"/>
          <w:highlight w:val="white"/>
        </w:rPr>
      </w:pPr>
      <w:r w:rsidDel="00000000" w:rsidR="00000000" w:rsidRPr="00000000">
        <w:rPr>
          <w:color w:val="222222"/>
          <w:highlight w:val="white"/>
          <w:rtl w:val="0"/>
        </w:rPr>
        <w:t xml:space="preserve">Inicio página 12</w:t>
      </w:r>
    </w:p>
    <w:p w:rsidR="00000000" w:rsidDel="00000000" w:rsidP="00000000" w:rsidRDefault="00000000" w:rsidRPr="00000000" w14:paraId="00000170">
      <w:pPr>
        <w:spacing w:line="360" w:lineRule="auto"/>
        <w:jc w:val="both"/>
        <w:rPr>
          <w:color w:val="222222"/>
          <w:highlight w:val="white"/>
        </w:rPr>
      </w:pPr>
      <w:r w:rsidDel="00000000" w:rsidR="00000000" w:rsidRPr="00000000">
        <w:rPr>
          <w:color w:val="222222"/>
          <w:highlight w:val="white"/>
          <w:rtl w:val="0"/>
        </w:rPr>
        <w:t xml:space="preserve">En este ejercicio, las condiciones de venta de los productos vendidos a todos los clientes fuera de la región se mantienen constantes.</w:t>
      </w:r>
    </w:p>
    <w:p w:rsidR="00000000" w:rsidDel="00000000" w:rsidP="00000000" w:rsidRDefault="00000000" w:rsidRPr="00000000" w14:paraId="00000171">
      <w:pPr>
        <w:spacing w:line="360" w:lineRule="auto"/>
        <w:jc w:val="both"/>
        <w:rPr>
          <w:color w:val="222222"/>
          <w:highlight w:val="white"/>
        </w:rPr>
      </w:pPr>
      <w:r w:rsidDel="00000000" w:rsidR="00000000" w:rsidRPr="00000000">
        <w:rPr>
          <w:color w:val="222222"/>
          <w:highlight w:val="white"/>
          <w:rtl w:val="0"/>
        </w:rPr>
        <w:t xml:space="preserve">2. Mercados geográficos</w:t>
      </w:r>
    </w:p>
    <w:p w:rsidR="00000000" w:rsidDel="00000000" w:rsidP="00000000" w:rsidRDefault="00000000" w:rsidRPr="00000000" w14:paraId="00000172">
      <w:pPr>
        <w:spacing w:line="360" w:lineRule="auto"/>
        <w:jc w:val="both"/>
        <w:rPr>
          <w:color w:val="222222"/>
          <w:highlight w:val="white"/>
        </w:rPr>
      </w:pPr>
      <w:r w:rsidDel="00000000" w:rsidR="00000000" w:rsidRPr="00000000">
        <w:rPr>
          <w:color w:val="222222"/>
          <w:highlight w:val="white"/>
          <w:rtl w:val="0"/>
        </w:rPr>
        <w:t xml:space="preserve">Un mercado antimonopolio relevante es un área de competencia efectiva que comprende tanto productos (o servicios) como elementos geográficos. La geografía de un mercado depende de los límites que la distancia impone a la voluntad o capacidad de algunos clientes de sustituir algunos productos, o a la voluntad o capacidad de algunos proveedores de atender a algunos clientes. Los factores que pueden limitar el alcance geográfico del mercado incluyen los costos de transporte (en relación con el precio del bien), el idioma, la regulación, las barreras comerciales arancelarias y no arancelarias, las costumbres y la familiaridad, la reputación y la disponibilidad de servicios locales.</w:t>
      </w:r>
    </w:p>
    <w:p w:rsidR="00000000" w:rsidDel="00000000" w:rsidP="00000000" w:rsidRDefault="00000000" w:rsidRPr="00000000" w14:paraId="00000173">
      <w:pPr>
        <w:spacing w:line="360" w:lineRule="auto"/>
        <w:jc w:val="both"/>
        <w:rPr>
          <w:color w:val="222222"/>
          <w:highlight w:val="white"/>
        </w:rPr>
      </w:pPr>
      <w:r w:rsidDel="00000000" w:rsidR="00000000" w:rsidRPr="00000000">
        <w:rPr>
          <w:color w:val="222222"/>
          <w:highlight w:val="white"/>
          <w:rtl w:val="0"/>
        </w:rPr>
        <w:t xml:space="preserve">a) Mercados geográficos basados en la ubicación de los proveedores</w:t>
      </w:r>
    </w:p>
    <w:p w:rsidR="00000000" w:rsidDel="00000000" w:rsidP="00000000" w:rsidRDefault="00000000" w:rsidRPr="00000000" w14:paraId="00000174">
      <w:pPr>
        <w:spacing w:line="360" w:lineRule="auto"/>
        <w:jc w:val="both"/>
        <w:rPr>
          <w:color w:val="222222"/>
          <w:highlight w:val="white"/>
        </w:rPr>
      </w:pPr>
      <w:r w:rsidDel="00000000" w:rsidR="00000000" w:rsidRPr="00000000">
        <w:rPr>
          <w:color w:val="222222"/>
          <w:highlight w:val="white"/>
          <w:rtl w:val="0"/>
        </w:rPr>
        <w:t xml:space="preserve">Las Agencias a veces definen los mercados geográficos como regiones que abarcan un grupo de ubicaciones de proveedores. Cuando lo hacen, el alcance del mercado geográfico está determinado por la voluntad de los clientes de cambiar de proveedor. Los mercados geográficos de este tipo suelen aplicarse cuando los clientes reciben bienes o servicios en las instalaciones de los proveedores, por ejemplo, cuando los clientes compran personalmente en tiendas minoristas. Una sola empresa puede ofrecer el mismo producto en varios lugares, tanto dentro de un único mercado geográfico como entre mercados geográficos; La disposición de los clientes a sustituir productos puede depender de la ubicación del proveedor. Al calcular las cuotas de mercado, se incluyen las ventas realizadas desde las ubicaciones de los proveedores en el mercado geográfico, independientemente de si el cliente que realizó la compra viajó desde fuera de los límites del mercado geográfico (consulte el Apéndice 4 para obtener más detalles sobre el cálculo de las cuotas de mercado). Si el HMT se utiliza para evaluar el alcance geográfico del mercado, requiere que una empresa hipotética maximizadora de ganancias que fuera el único proveedor presente o futuro de los productos relevantes en las ubicaciones de los proveedores en la región probablemente llevaría a cabo al menos una SSNIPT en al menos una ubicación. En este ejercicio, las condiciones de venta de los productos vendidos a todos los clientes en instalaciones fuera de la región generalmente se mantienen constantes.*8</w:t>
      </w:r>
    </w:p>
    <w:p w:rsidR="00000000" w:rsidDel="00000000" w:rsidP="00000000" w:rsidRDefault="00000000" w:rsidRPr="00000000" w14:paraId="00000175">
      <w:pPr>
        <w:spacing w:line="360" w:lineRule="auto"/>
        <w:jc w:val="both"/>
        <w:rPr>
          <w:color w:val="222222"/>
          <w:highlight w:val="white"/>
        </w:rPr>
      </w:pPr>
      <w:r w:rsidDel="00000000" w:rsidR="00000000" w:rsidRPr="00000000">
        <w:rPr>
          <w:color w:val="222222"/>
          <w:highlight w:val="white"/>
          <w:rtl w:val="0"/>
        </w:rPr>
        <w:t xml:space="preserve">b) Mercados geográficos basados en la segmentación de clientes por ubicación</w:t>
      </w:r>
    </w:p>
    <w:p w:rsidR="00000000" w:rsidDel="00000000" w:rsidP="00000000" w:rsidRDefault="00000000" w:rsidRPr="00000000" w14:paraId="00000176">
      <w:pPr>
        <w:spacing w:line="360" w:lineRule="auto"/>
        <w:jc w:val="both"/>
        <w:rPr>
          <w:color w:val="222222"/>
          <w:highlight w:val="white"/>
        </w:rPr>
      </w:pPr>
      <w:r w:rsidDel="00000000" w:rsidR="00000000" w:rsidRPr="00000000">
        <w:rPr>
          <w:color w:val="222222"/>
          <w:highlight w:val="white"/>
          <w:rtl w:val="0"/>
        </w:rPr>
        <w:t xml:space="preserve">Cuando la segmentación basada en la ubicación del cliente es factible (consulte el Apéndice 3.B.1), las Agencias pueden definir los mercados geográficos como una región que abarca un grupo de clientes.*9 Por ejemplo, los mercados geográficos a veces pueden definirse de esta manera cuando los proveedores entregan sus productos. productos o servicios a las ubicaciones de los clientes, o adaptar las condiciones comerciales en función de las ubicaciones de los clientes. Los competidores en el mercado son empresas que venden a clientes ubicados en la región especificada. Algunos proveedores pueden estar ubicados fuera de los límites del mercado geográfico, pero sus ventas a clientes ubicados dentro del mercado se incluyen al calcular las cuotas de mercado (consulte el Apéndice 4 para obtener más detalles sobre el cálculo de las cuotas de mercado).</w:t>
      </w:r>
    </w:p>
    <w:p w:rsidR="00000000" w:rsidDel="00000000" w:rsidP="00000000" w:rsidRDefault="00000000" w:rsidRPr="00000000" w14:paraId="00000177">
      <w:pPr>
        <w:spacing w:line="360" w:lineRule="auto"/>
        <w:jc w:val="both"/>
        <w:rPr>
          <w:color w:val="222222"/>
          <w:highlight w:val="white"/>
        </w:rPr>
      </w:pPr>
      <w:r w:rsidDel="00000000" w:rsidR="00000000" w:rsidRPr="00000000">
        <w:rPr>
          <w:color w:val="222222"/>
          <w:highlight w:val="white"/>
          <w:rtl w:val="0"/>
        </w:rPr>
        <w:t xml:space="preserve">Inicio página 13</w:t>
      </w:r>
    </w:p>
    <w:p w:rsidR="00000000" w:rsidDel="00000000" w:rsidP="00000000" w:rsidRDefault="00000000" w:rsidRPr="00000000" w14:paraId="00000178">
      <w:pPr>
        <w:spacing w:line="360" w:lineRule="auto"/>
        <w:jc w:val="both"/>
        <w:rPr>
          <w:color w:val="222222"/>
          <w:highlight w:val="white"/>
        </w:rPr>
      </w:pPr>
      <w:r w:rsidDel="00000000" w:rsidR="00000000" w:rsidRPr="00000000">
        <w:rPr>
          <w:color w:val="222222"/>
          <w:highlight w:val="white"/>
          <w:rtl w:val="0"/>
        </w:rPr>
        <w:t xml:space="preserve">Si los precios se negocian individualmente con los clientes a los que se puede dirigir, los mercados geográficos pueden ser tan estrechos como los clientes individuales. No obstante, las Agencias suelen definir un mercado para un grupo de clientes ubicados dentro de una región si las condiciones de competencia son razonablemente similares para estos clientes. (Consulte el Apéndice 3.B.4 para obtener más información sobre los mercados de clústeres).</w:t>
      </w:r>
    </w:p>
    <w:p w:rsidR="00000000" w:rsidDel="00000000" w:rsidP="00000000" w:rsidRDefault="00000000" w:rsidRPr="00000000" w14:paraId="00000179">
      <w:pPr>
        <w:spacing w:line="360" w:lineRule="auto"/>
        <w:jc w:val="both"/>
        <w:rPr>
          <w:color w:val="222222"/>
          <w:highlight w:val="white"/>
        </w:rPr>
      </w:pPr>
      <w:r w:rsidDel="00000000" w:rsidR="00000000" w:rsidRPr="00000000">
        <w:rPr>
          <w:color w:val="222222"/>
          <w:highlight w:val="white"/>
          <w:rtl w:val="0"/>
        </w:rPr>
        <w:t xml:space="preserve">El intento de una empresa de dirigirse a clientes de un área particular con condiciones peores a veces puede verse socavado si algunos clientes de la región sustituyen el producto viajando fuera de ella para comprar el producto. El arbitraje por parte de los clientes en una escala modesta puede ser posible, pero lo suficientemente costoso o limitado como para no disuadir o frustrar una estrategia de focalización.*10</w:t>
      </w:r>
    </w:p>
    <w:p w:rsidR="00000000" w:rsidDel="00000000" w:rsidP="00000000" w:rsidRDefault="00000000" w:rsidRPr="00000000" w14:paraId="0000017A">
      <w:pPr>
        <w:spacing w:line="360" w:lineRule="auto"/>
        <w:jc w:val="both"/>
        <w:rPr>
          <w:color w:val="222222"/>
          <w:highlight w:val="white"/>
        </w:rPr>
      </w:pPr>
      <w:r w:rsidDel="00000000" w:rsidR="00000000" w:rsidRPr="00000000">
        <w:rPr>
          <w:color w:val="222222"/>
          <w:highlight w:val="white"/>
          <w:rtl w:val="0"/>
        </w:rPr>
        <w:t xml:space="preserve">Si el HMT se utiliza para evaluar la definición del mercado cuando los clientes pueden ser objetivo por ubicación, requiere que una empresa hipotética maximizadora de ganancias que fuera el único vendedor presente o futuro del producto(s) relevante a los clientes en la región probablemente lo haría en al menos un SSNIPT en algunos, aunque no necesariamente en todos, los clientes de esa región. Los productos vendidos en esa región forman un mercado relevante si el monopolista hipotético emprendería al menos un SSNIPT a pesar de la posibilidad de que los clientes lo sustituyan fuera del producto o hacia ubicaciones fuera de la región. En este ejercicio, las condiciones de venta de los productos vendidos a todos los clientes fuera de la región se mantienen constantes.*11</w:t>
      </w:r>
    </w:p>
    <w:p w:rsidR="00000000" w:rsidDel="00000000" w:rsidP="00000000" w:rsidRDefault="00000000" w:rsidRPr="00000000" w14:paraId="0000017B">
      <w:pPr>
        <w:spacing w:line="360" w:lineRule="auto"/>
        <w:jc w:val="both"/>
        <w:rPr>
          <w:color w:val="222222"/>
          <w:highlight w:val="white"/>
        </w:rPr>
      </w:pPr>
      <w:r w:rsidDel="00000000" w:rsidR="00000000" w:rsidRPr="00000000">
        <w:rPr>
          <w:color w:val="222222"/>
          <w:highlight w:val="white"/>
          <w:rtl w:val="0"/>
        </w:rPr>
        <w:t xml:space="preserve">3. Respuestas de los proveedores</w:t>
      </w:r>
    </w:p>
    <w:p w:rsidR="00000000" w:rsidDel="00000000" w:rsidP="00000000" w:rsidRDefault="00000000" w:rsidRPr="00000000" w14:paraId="0000017C">
      <w:pPr>
        <w:spacing w:line="360" w:lineRule="auto"/>
        <w:jc w:val="both"/>
        <w:rPr>
          <w:color w:val="222222"/>
          <w:highlight w:val="white"/>
        </w:rPr>
      </w:pPr>
      <w:r w:rsidDel="00000000" w:rsidR="00000000" w:rsidRPr="00000000">
        <w:rPr>
          <w:color w:val="222222"/>
          <w:highlight w:val="white"/>
          <w:rtl w:val="0"/>
        </w:rPr>
        <w:t xml:space="preserve">La definición de mercado se centra únicamente en los factores de sustitución de la demanda, es decir, en la capacidad y voluntad de los clientes de sustituir un producto o ubicación por otro en respuesta a un aumento de precio u otro empeoramiento de las condiciones. Las respuestas de los proveedores pueden considerarse en el análisis de la competencia entre empresas (Directriz 2 y Apéndice 2), la entrada y el reposicionamiento (Sección IV) y en el cálculo de las cuotas de mercado y la concentración (Apéndice 4).</w:t>
      </w:r>
    </w:p>
    <w:p w:rsidR="00000000" w:rsidDel="00000000" w:rsidP="00000000" w:rsidRDefault="00000000" w:rsidRPr="00000000" w14:paraId="0000017D">
      <w:pPr>
        <w:spacing w:line="360" w:lineRule="auto"/>
        <w:jc w:val="both"/>
        <w:rPr>
          <w:color w:val="222222"/>
          <w:highlight w:val="white"/>
        </w:rPr>
      </w:pPr>
      <w:r w:rsidDel="00000000" w:rsidR="00000000" w:rsidRPr="00000000">
        <w:rPr>
          <w:color w:val="222222"/>
          <w:highlight w:val="white"/>
          <w:rtl w:val="0"/>
        </w:rPr>
        <w:t xml:space="preserve">4. Mercados de clústeres</w:t>
      </w:r>
    </w:p>
    <w:p w:rsidR="00000000" w:rsidDel="00000000" w:rsidP="00000000" w:rsidRDefault="00000000" w:rsidRPr="00000000" w14:paraId="0000017E">
      <w:pPr>
        <w:spacing w:line="360" w:lineRule="auto"/>
        <w:jc w:val="both"/>
        <w:rPr>
          <w:color w:val="222222"/>
          <w:highlight w:val="white"/>
        </w:rPr>
      </w:pPr>
      <w:r w:rsidDel="00000000" w:rsidR="00000000" w:rsidRPr="00000000">
        <w:rPr>
          <w:color w:val="222222"/>
          <w:highlight w:val="white"/>
          <w:rtl w:val="0"/>
        </w:rPr>
        <w:t xml:space="preserve">Un mercado antimonopolio relevante es generalmente un grupo de productos que se sustituyen entre sí. Sin embargo, cuando las condiciones competitivas para múltiples mercados antimonopolio son razonablemente similares, puede ser apropiado agregar los productos en estos mercados en un “mercado de grupo” por conveniencia analítica, aunque no todos los productos del grupo sean sustitutos entre sí. Por ejemplo, los hospitales competidores pueden ofrecer cada uno una amplia gama de servicios de atención médica aguda. La atención aguda para un problema de salud no sustituye la atención aguda para un problema de salud diferente. Sin embargo, las Agencias pueden agregarlos en un mercado grupal de servicios de cuidados intensivos si las condiciones de competencia son razonablemente similares entre los servicios del grupo.</w:t>
      </w:r>
    </w:p>
    <w:p w:rsidR="00000000" w:rsidDel="00000000" w:rsidP="00000000" w:rsidRDefault="00000000" w:rsidRPr="00000000" w14:paraId="0000017F">
      <w:pPr>
        <w:spacing w:line="360" w:lineRule="auto"/>
        <w:jc w:val="both"/>
        <w:rPr>
          <w:color w:val="222222"/>
          <w:highlight w:val="white"/>
        </w:rPr>
      </w:pPr>
      <w:r w:rsidDel="00000000" w:rsidR="00000000" w:rsidRPr="00000000">
        <w:rPr>
          <w:color w:val="222222"/>
          <w:highlight w:val="white"/>
          <w:rtl w:val="0"/>
        </w:rPr>
        <w:t xml:space="preserve">Inicio página 14</w:t>
      </w:r>
    </w:p>
    <w:p w:rsidR="00000000" w:rsidDel="00000000" w:rsidP="00000000" w:rsidRDefault="00000000" w:rsidRPr="00000000" w14:paraId="00000180">
      <w:pPr>
        <w:spacing w:line="360" w:lineRule="auto"/>
        <w:jc w:val="both"/>
        <w:rPr>
          <w:color w:val="222222"/>
          <w:highlight w:val="white"/>
        </w:rPr>
      </w:pPr>
      <w:r w:rsidDel="00000000" w:rsidR="00000000" w:rsidRPr="00000000">
        <w:rPr>
          <w:color w:val="222222"/>
          <w:highlight w:val="white"/>
          <w:rtl w:val="0"/>
        </w:rPr>
        <w:t xml:space="preserve">Las Agencias no necesitan analizar por separado la definición de mercado para cada producto incluido en el mercado del clúster, y las cuotas de mercado normalmente se calcularán para el mercado del clúster en su conjunto.</w:t>
      </w:r>
    </w:p>
    <w:p w:rsidR="00000000" w:rsidDel="00000000" w:rsidP="00000000" w:rsidRDefault="00000000" w:rsidRPr="00000000" w14:paraId="00000181">
      <w:pPr>
        <w:spacing w:line="360" w:lineRule="auto"/>
        <w:jc w:val="both"/>
        <w:rPr>
          <w:color w:val="222222"/>
          <w:highlight w:val="white"/>
        </w:rPr>
      </w:pPr>
      <w:r w:rsidDel="00000000" w:rsidR="00000000" w:rsidRPr="00000000">
        <w:rPr>
          <w:color w:val="222222"/>
          <w:highlight w:val="white"/>
          <w:rtl w:val="0"/>
        </w:rPr>
        <w:t xml:space="preserve">De manera análoga, las Agencias a veces definen un mercado como un grupo de clientes objetivo (ver Apéndice 3.B.1) o un grupo de clientes ubicados en una región (ver Apéndice 3.B.2(b)).</w:t>
      </w:r>
    </w:p>
    <w:p w:rsidR="00000000" w:rsidDel="00000000" w:rsidP="00000000" w:rsidRDefault="00000000" w:rsidRPr="00000000" w14:paraId="00000182">
      <w:pPr>
        <w:spacing w:line="360" w:lineRule="auto"/>
        <w:jc w:val="both"/>
        <w:rPr>
          <w:color w:val="222222"/>
          <w:highlight w:val="white"/>
        </w:rPr>
      </w:pPr>
      <w:r w:rsidDel="00000000" w:rsidR="00000000" w:rsidRPr="00000000">
        <w:rPr>
          <w:color w:val="222222"/>
          <w:highlight w:val="white"/>
          <w:rtl w:val="0"/>
        </w:rPr>
        <w:t xml:space="preserve">5. Mercados de productos empaquetados</w:t>
      </w:r>
    </w:p>
    <w:p w:rsidR="00000000" w:rsidDel="00000000" w:rsidP="00000000" w:rsidRDefault="00000000" w:rsidRPr="00000000" w14:paraId="00000183">
      <w:pPr>
        <w:spacing w:line="360" w:lineRule="auto"/>
        <w:jc w:val="both"/>
        <w:rPr>
          <w:color w:val="222222"/>
          <w:highlight w:val="white"/>
        </w:rPr>
      </w:pPr>
      <w:r w:rsidDel="00000000" w:rsidR="00000000" w:rsidRPr="00000000">
        <w:rPr>
          <w:color w:val="222222"/>
          <w:highlight w:val="white"/>
          <w:rtl w:val="0"/>
        </w:rPr>
        <w:t xml:space="preserve">Las empresas pueden vender una combinación de productos como un paquete o un “paquete”, en lugar de ofrecer productos “a la carta”, es decir, por separado como productos independientes. Diferentes paquetes ofrecidos por la misma o diferentes empresas pueden agrupar diferentes combinaciones de productos componentes y, por lo tanto, diferenciarse según la composición del paquete. Si los componentes de un producto empaquetado también están disponibles por separado, el paquete puede ofrecerse a un precio que represente un descuento en relación con la suma de los precios de los productos a la carta.</w:t>
      </w:r>
    </w:p>
    <w:p w:rsidR="00000000" w:rsidDel="00000000" w:rsidP="00000000" w:rsidRDefault="00000000" w:rsidRPr="00000000" w14:paraId="00000184">
      <w:pPr>
        <w:spacing w:line="360" w:lineRule="auto"/>
        <w:jc w:val="both"/>
        <w:rPr>
          <w:color w:val="222222"/>
          <w:highlight w:val="white"/>
        </w:rPr>
      </w:pPr>
      <w:r w:rsidDel="00000000" w:rsidR="00000000" w:rsidRPr="00000000">
        <w:rPr>
          <w:color w:val="222222"/>
          <w:highlight w:val="white"/>
          <w:rtl w:val="0"/>
        </w:rPr>
        <w:t xml:space="preserve">Las Agencias adoptan un enfoque flexible basado en las circunstancias específicas para determinar si un mercado candidato que incluye uno o más productos empaquetados, productos independientes o ambos es un mercado antimonopolio relevante. En algunos casos, un mercado relevante puede consistir únicamente en productos empaquetados. Un mercado compuesto únicamente por productos empaquetados podría ser un mercado antimonopolio relevante incluso si existe una competencia significativa de los productos desagregados. En otros casos, un mercado relevante puede incluir tanto productos empaquetados como algunos productos componentes desagregados.</w:t>
      </w:r>
    </w:p>
    <w:p w:rsidR="00000000" w:rsidDel="00000000" w:rsidP="00000000" w:rsidRDefault="00000000" w:rsidRPr="00000000" w14:paraId="00000185">
      <w:pPr>
        <w:spacing w:line="360" w:lineRule="auto"/>
        <w:jc w:val="both"/>
        <w:rPr>
          <w:color w:val="222222"/>
          <w:highlight w:val="white"/>
        </w:rPr>
      </w:pPr>
      <w:r w:rsidDel="00000000" w:rsidR="00000000" w:rsidRPr="00000000">
        <w:rPr>
          <w:color w:val="222222"/>
          <w:highlight w:val="white"/>
          <w:rtl w:val="0"/>
        </w:rPr>
        <w:t xml:space="preserve">Incluso en los casos en que las empresas comúnmente venden combinaciones de productos o servicios como un paquete o un “paquete de acuerdos”, los mercados antimonopolio relevantes no necesariamente incluyen paquetes de productos. En algunos casos, un mercado relevante puede analizarse como un mercado de clúster, como se analiza en el Apéndice 3.B.4.</w:t>
      </w:r>
    </w:p>
    <w:p w:rsidR="00000000" w:rsidDel="00000000" w:rsidP="00000000" w:rsidRDefault="00000000" w:rsidRPr="00000000" w14:paraId="00000186">
      <w:pPr>
        <w:spacing w:line="360" w:lineRule="auto"/>
        <w:jc w:val="both"/>
        <w:rPr>
          <w:color w:val="222222"/>
          <w:highlight w:val="white"/>
        </w:rPr>
      </w:pPr>
      <w:r w:rsidDel="00000000" w:rsidR="00000000" w:rsidRPr="00000000">
        <w:rPr>
          <w:color w:val="222222"/>
          <w:highlight w:val="white"/>
          <w:rtl w:val="0"/>
        </w:rPr>
        <w:t xml:space="preserve">6. Ventanillas únicas en los mercados</w:t>
      </w:r>
    </w:p>
    <w:p w:rsidR="00000000" w:rsidDel="00000000" w:rsidP="00000000" w:rsidRDefault="00000000" w:rsidRPr="00000000" w14:paraId="00000187">
      <w:pPr>
        <w:spacing w:line="360" w:lineRule="auto"/>
        <w:jc w:val="both"/>
        <w:rPr>
          <w:color w:val="222222"/>
          <w:highlight w:val="white"/>
        </w:rPr>
      </w:pPr>
      <w:r w:rsidDel="00000000" w:rsidR="00000000" w:rsidRPr="00000000">
        <w:rPr>
          <w:color w:val="222222"/>
          <w:highlight w:val="white"/>
          <w:rtl w:val="0"/>
        </w:rPr>
        <w:t xml:space="preserve">En algunos entornos, las Agencias pueden considerar un mercado candidato que incluya una o más “ventanillas únicas”, donde los clientes pueden seleccionar una combinación de productos para comprar de un solo vendedor, ya sea en una sola compra o en una secuencia de compras. . Los productos se venden comúnmente en una ventanilla única cuando los clientes valoran la conveniencia, lo que puede surgir debido a costos de transacción o de búsqueda, ahorros de tiempo, costos de transporte o familiaridad con la tienda o el sitio web.</w:t>
      </w:r>
    </w:p>
    <w:p w:rsidR="00000000" w:rsidDel="00000000" w:rsidP="00000000" w:rsidRDefault="00000000" w:rsidRPr="00000000" w14:paraId="00000188">
      <w:pPr>
        <w:spacing w:line="360" w:lineRule="auto"/>
        <w:jc w:val="both"/>
        <w:rPr>
          <w:color w:val="222222"/>
          <w:highlight w:val="white"/>
        </w:rPr>
      </w:pPr>
      <w:r w:rsidDel="00000000" w:rsidR="00000000" w:rsidRPr="00000000">
        <w:rPr>
          <w:color w:val="222222"/>
          <w:highlight w:val="white"/>
          <w:rtl w:val="0"/>
        </w:rPr>
        <w:t xml:space="preserve">Un minorista de múltiples productos, como una tienda de comestibles o un minorista en línea, es un ejemplo de ventanilla única. Los clientes pueden seleccionar una canasta particular de comestibles entre una variedad de productos disponibles y diferentes clientes pueden seleccionar canastas diferentes. Algunos clientes pueden hacer varias paradas en tiendas especializadas (por ejemplo, carnicería, panadería, verdulería), o pueden hacer la mayor parte de sus compras en una ventanilla única (la tienda de comestibles), pero también comprar en tiendas especializadas un producto en particular. categorías.</w:t>
      </w:r>
    </w:p>
    <w:p w:rsidR="00000000" w:rsidDel="00000000" w:rsidP="00000000" w:rsidRDefault="00000000" w:rsidRPr="00000000" w14:paraId="00000189">
      <w:pPr>
        <w:spacing w:line="360" w:lineRule="auto"/>
        <w:jc w:val="both"/>
        <w:rPr>
          <w:color w:val="222222"/>
          <w:highlight w:val="white"/>
        </w:rPr>
      </w:pPr>
      <w:r w:rsidDel="00000000" w:rsidR="00000000" w:rsidRPr="00000000">
        <w:rPr>
          <w:color w:val="222222"/>
          <w:highlight w:val="white"/>
          <w:rtl w:val="0"/>
        </w:rPr>
        <w:t xml:space="preserve">Hay varias formas en que se pueden definir los mercados en entornos de ventanilla única, dependiendo de las realidades del mercado, y las Agencias pueden definir más de un mercado antimonopolio para una fusión en particular. Por ejemplo, un mercado relevante puede estar formado únicamente por ventanillas únicas, incluso si existe una competencia significativa de tiendas especializadas; o puede incluir tanto ventanillas únicas como tiendas especializadas. Cuando una categoría de producto se vende tanto en ventanillas únicas como en</w:t>
      </w:r>
    </w:p>
    <w:p w:rsidR="00000000" w:rsidDel="00000000" w:rsidP="00000000" w:rsidRDefault="00000000" w:rsidRPr="00000000" w14:paraId="0000018A">
      <w:pPr>
        <w:spacing w:line="360" w:lineRule="auto"/>
        <w:jc w:val="both"/>
        <w:rPr>
          <w:color w:val="222222"/>
          <w:highlight w:val="white"/>
        </w:rPr>
      </w:pPr>
      <w:r w:rsidDel="00000000" w:rsidR="00000000" w:rsidRPr="00000000">
        <w:rPr>
          <w:color w:val="222222"/>
          <w:highlight w:val="white"/>
          <w:rtl w:val="0"/>
        </w:rPr>
        <w:t xml:space="preserve">Inicio página 15</w:t>
      </w:r>
    </w:p>
    <w:p w:rsidR="00000000" w:rsidDel="00000000" w:rsidP="00000000" w:rsidRDefault="00000000" w:rsidRPr="00000000" w14:paraId="0000018B">
      <w:pPr>
        <w:spacing w:line="360" w:lineRule="auto"/>
        <w:jc w:val="both"/>
        <w:rPr>
          <w:color w:val="222222"/>
          <w:highlight w:val="white"/>
        </w:rPr>
      </w:pPr>
      <w:r w:rsidDel="00000000" w:rsidR="00000000" w:rsidRPr="00000000">
        <w:rPr>
          <w:color w:val="222222"/>
          <w:highlight w:val="white"/>
          <w:rtl w:val="0"/>
        </w:rPr>
        <w:t xml:space="preserve">proveedores especializados (como un tipo de producto que se vende en tiendas de comestibles y puestos de productos), las Agencias pueden definir mercados antimonopolio para la categoría de producto vendido por un tipo particular de proveedor, o pueden incluir múltiples tipos de proveedores.</w:t>
      </w:r>
    </w:p>
    <w:p w:rsidR="00000000" w:rsidDel="00000000" w:rsidP="00000000" w:rsidRDefault="00000000" w:rsidRPr="00000000" w14:paraId="0000018C">
      <w:pPr>
        <w:spacing w:line="360" w:lineRule="auto"/>
        <w:jc w:val="both"/>
        <w:rPr>
          <w:color w:val="222222"/>
          <w:highlight w:val="white"/>
        </w:rPr>
      </w:pPr>
      <w:r w:rsidDel="00000000" w:rsidR="00000000" w:rsidRPr="00000000">
        <w:rPr>
          <w:color w:val="222222"/>
          <w:highlight w:val="white"/>
          <w:rtl w:val="0"/>
        </w:rPr>
        <w:t xml:space="preserve">7. Definición de mercado cuando hay daño a la innovación</w:t>
      </w:r>
    </w:p>
    <w:p w:rsidR="00000000" w:rsidDel="00000000" w:rsidP="00000000" w:rsidRDefault="00000000" w:rsidRPr="00000000" w14:paraId="0000018D">
      <w:pPr>
        <w:spacing w:line="360" w:lineRule="auto"/>
        <w:jc w:val="both"/>
        <w:rPr>
          <w:color w:val="222222"/>
          <w:highlight w:val="white"/>
        </w:rPr>
      </w:pPr>
      <w:r w:rsidDel="00000000" w:rsidR="00000000" w:rsidRPr="00000000">
        <w:rPr>
          <w:color w:val="222222"/>
          <w:highlight w:val="white"/>
          <w:rtl w:val="0"/>
        </w:rPr>
        <w:t xml:space="preserve">Al considerar el daño a la competencia en la innovación, la definición del mercado puede seguir los mismos enfoques que se utilizan para analizar otras dimensiones de la competencia. En el caso en que una fusión pueda disminuir sustancialmente la competencia al disminuir los incentivos para la innovación, las Agencias pueden definir mercados antimonopolio relevantes en torno a los productos que resultarían de esa innovación, incluso si aún no existen. En algunos casos, las Agencias pueden analizar mercados relevantes diferentes al considerar la innovación que al considerar otras dimensiones de la competencia.</w:t>
      </w:r>
    </w:p>
    <w:p w:rsidR="00000000" w:rsidDel="00000000" w:rsidP="00000000" w:rsidRDefault="00000000" w:rsidRPr="00000000" w14:paraId="0000018E">
      <w:pPr>
        <w:spacing w:line="360" w:lineRule="auto"/>
        <w:jc w:val="both"/>
        <w:rPr>
          <w:color w:val="222222"/>
          <w:highlight w:val="white"/>
        </w:rPr>
      </w:pPr>
      <w:r w:rsidDel="00000000" w:rsidR="00000000" w:rsidRPr="00000000">
        <w:rPr>
          <w:color w:val="222222"/>
          <w:highlight w:val="white"/>
          <w:rtl w:val="0"/>
        </w:rPr>
        <w:t xml:space="preserve">8. Definición de mercado para los mercados de insumos y los mercados laborales</w:t>
      </w:r>
    </w:p>
    <w:p w:rsidR="00000000" w:rsidDel="00000000" w:rsidP="00000000" w:rsidRDefault="00000000" w:rsidRPr="00000000" w14:paraId="0000018F">
      <w:pPr>
        <w:spacing w:line="360" w:lineRule="auto"/>
        <w:jc w:val="both"/>
        <w:rPr>
          <w:color w:val="222222"/>
          <w:highlight w:val="white"/>
        </w:rPr>
      </w:pPr>
      <w:r w:rsidDel="00000000" w:rsidR="00000000" w:rsidRPr="00000000">
        <w:rPr>
          <w:color w:val="222222"/>
          <w:highlight w:val="white"/>
          <w:rtl w:val="0"/>
        </w:rPr>
        <w:t xml:space="preserve">Las mismas herramientas y principios de definición de mercado discutidos anteriormente pueden usarse para los mercados de insumos y los mercados laborales, donde la mano de obra es un tipo particular de insumo. En los mercados de insumos, las empresas compiten entre sí para atraer proveedores, incluidos trabajadores. Por lo tanto, los proveedores de insumos son análogos a los clientes en las discusiones anteriores sobre la definición del mercado. Al definir los mercados relevantes, las Agencias se centran en las alternativas disponibles para los proveedores de insumos. Un mercado de insumos antimonopolio consta de un grupo de productos (bienes o servicios) y un área geográfica definida por la ubicación de los compradores o proveedores de insumos. Así como los compradores de un producto pueden considerar productos diferenciados según la marca o la identidad del vendedor, los proveedores de un producto o servicio pueden considerar diferentes compradores como diferenciados. Por ejemplo, si los proveedores son contratistas, pueden tener distintas preferencias sobre a quién prestan servicios, debido a las diferentes condiciones de trabajo, ubicación, confiabilidad de los compradores en términos de pago de facturas a tiempo o la propensión del comprador a realizar cambios inesperados. a las especificaciones.</w:t>
      </w:r>
    </w:p>
    <w:p w:rsidR="00000000" w:rsidDel="00000000" w:rsidP="00000000" w:rsidRDefault="00000000" w:rsidRPr="00000000" w14:paraId="00000190">
      <w:pPr>
        <w:spacing w:line="360" w:lineRule="auto"/>
        <w:jc w:val="both"/>
        <w:rPr>
          <w:color w:val="222222"/>
          <w:highlight w:val="white"/>
        </w:rPr>
      </w:pPr>
      <w:r w:rsidDel="00000000" w:rsidR="00000000" w:rsidRPr="00000000">
        <w:rPr>
          <w:color w:val="222222"/>
          <w:highlight w:val="white"/>
          <w:rtl w:val="0"/>
        </w:rPr>
        <w:t xml:space="preserve">El HMT considera si un hipotético monopsonista probablemente emprendería un SSNIPT, como una reducción en el precio pagado por los insumos o la imposición de condiciones menos favorables a los proveedores. Véase el Apéndice 2.C para obtener más información sobre la competencia en entornos donde los términos se fijan mediante subastas y negociaciones, como es común en los mercados de insumos.</w:t>
      </w:r>
    </w:p>
    <w:p w:rsidR="00000000" w:rsidDel="00000000" w:rsidP="00000000" w:rsidRDefault="00000000" w:rsidRPr="00000000" w14:paraId="00000191">
      <w:pPr>
        <w:spacing w:line="360" w:lineRule="auto"/>
        <w:jc w:val="both"/>
        <w:rPr>
          <w:color w:val="222222"/>
          <w:highlight w:val="white"/>
        </w:rPr>
      </w:pPr>
      <w:r w:rsidDel="00000000" w:rsidR="00000000" w:rsidRPr="00000000">
        <w:rPr>
          <w:color w:val="222222"/>
          <w:highlight w:val="white"/>
          <w:rtl w:val="0"/>
        </w:rPr>
        <w:t xml:space="preserve">Al definir un mercado laboral, las Agencias considerarán las oportunidades laborales alternativas disponibles para los trabajadores que suministran un tipo relevante de servicio laboral, donde la elección de los trabajadores entre trabajos o entre áreas geográficas es análoga a las elecciones de los consumidores entre productos y regiones al definir un mercado de productos. . Las Agencias pueden considerar la voluntad de los trabajadores de cambiar en respuesta a cambios en los salarios u otros aspectos de las condiciones laborales, como cambios en los beneficios u otras compensaciones no salariales, o la adopción de horarios menos flexibles. Dependiendo de la ocupación, las oportunidades laborales alternativas pueden incluir la misma ocupación con empleadores alternativos u ocupaciones alternativas. La definición del mercado geográfico puede implicar considerar la voluntad o capacidad de los trabajadores para desplazarse, incluida la disponibilidad de transporte público. La definición del producto y del mercado geográfico puede implicar evaluar si los trabajadores pueden ser objeto de salarios menos favorables u otras condiciones de empleo de acuerdo con factores como la educación, la experiencia, las certificaciones o los lugares de trabajo. Las Agencias pueden definir mercados agrupados para diferentes empleos cuando las empresas emplean trabajadores en una variedad de empleos caracterizados por condiciones competitivas similares (ver Apéndice 3.B.4).</w:t>
      </w:r>
    </w:p>
    <w:p w:rsidR="00000000" w:rsidDel="00000000" w:rsidP="00000000" w:rsidRDefault="00000000" w:rsidRPr="00000000" w14:paraId="00000192">
      <w:pPr>
        <w:spacing w:line="360" w:lineRule="auto"/>
        <w:jc w:val="both"/>
        <w:rPr>
          <w:color w:val="222222"/>
          <w:highlight w:val="white"/>
        </w:rPr>
      </w:pPr>
      <w:r w:rsidDel="00000000" w:rsidR="00000000" w:rsidRPr="00000000">
        <w:rPr>
          <w:color w:val="222222"/>
          <w:highlight w:val="white"/>
          <w:rtl w:val="0"/>
        </w:rPr>
        <w:t xml:space="preserve">Inicio página 16</w:t>
      </w:r>
    </w:p>
    <w:p w:rsidR="00000000" w:rsidDel="00000000" w:rsidP="00000000" w:rsidRDefault="00000000" w:rsidRPr="00000000" w14:paraId="00000193">
      <w:pPr>
        <w:spacing w:line="360" w:lineRule="auto"/>
        <w:jc w:val="both"/>
        <w:rPr>
          <w:color w:val="222222"/>
          <w:highlight w:val="white"/>
        </w:rPr>
      </w:pPr>
      <w:r w:rsidDel="00000000" w:rsidR="00000000" w:rsidRPr="00000000">
        <w:rPr>
          <w:color w:val="222222"/>
          <w:highlight w:val="white"/>
          <w:rtl w:val="0"/>
        </w:rPr>
        <w:t xml:space="preserve">Apéndice 4: Cálculo de cuotas de mercado y concentración</w:t>
      </w:r>
    </w:p>
    <w:p w:rsidR="00000000" w:rsidDel="00000000" w:rsidP="00000000" w:rsidRDefault="00000000" w:rsidRPr="00000000" w14:paraId="00000194">
      <w:pPr>
        <w:spacing w:line="360" w:lineRule="auto"/>
        <w:jc w:val="both"/>
        <w:rPr>
          <w:color w:val="222222"/>
          <w:highlight w:val="white"/>
        </w:rPr>
      </w:pPr>
      <w:r w:rsidDel="00000000" w:rsidR="00000000" w:rsidRPr="00000000">
        <w:rPr>
          <w:color w:val="222222"/>
          <w:highlight w:val="white"/>
          <w:rtl w:val="0"/>
        </w:rPr>
        <w:t xml:space="preserve">Este apéndice describe con más detalle cómo las agencias calculan las cuotas de mercado y las métricas de concentración.</w:t>
      </w:r>
    </w:p>
    <w:p w:rsidR="00000000" w:rsidDel="00000000" w:rsidP="00000000" w:rsidRDefault="00000000" w:rsidRPr="00000000" w14:paraId="00000195">
      <w:pPr>
        <w:spacing w:line="360" w:lineRule="auto"/>
        <w:jc w:val="both"/>
        <w:rPr>
          <w:color w:val="222222"/>
          <w:highlight w:val="white"/>
        </w:rPr>
      </w:pPr>
      <w:r w:rsidDel="00000000" w:rsidR="00000000" w:rsidRPr="00000000">
        <w:rPr>
          <w:color w:val="222222"/>
          <w:highlight w:val="white"/>
          <w:rtl w:val="0"/>
        </w:rPr>
        <w:t xml:space="preserve">A. Participantes del mercado</w:t>
      </w:r>
    </w:p>
    <w:p w:rsidR="00000000" w:rsidDel="00000000" w:rsidP="00000000" w:rsidRDefault="00000000" w:rsidRPr="00000000" w14:paraId="00000196">
      <w:pPr>
        <w:spacing w:line="360" w:lineRule="auto"/>
        <w:jc w:val="both"/>
        <w:rPr>
          <w:color w:val="222222"/>
          <w:highlight w:val="white"/>
        </w:rPr>
      </w:pPr>
      <w:r w:rsidDel="00000000" w:rsidR="00000000" w:rsidRPr="00000000">
        <w:rPr>
          <w:color w:val="222222"/>
          <w:highlight w:val="white"/>
          <w:rtl w:val="0"/>
        </w:rPr>
        <w:t xml:space="preserve">Todas las empresas que actualmente suministran productos (o consumen productos, cuando los compradores se fusionan) en un mercado relevante se consideran participantes en ese mercado. Las empresas integradas verticalmente también se incluyen en la medida en que su inclusión refleje con precisión su importancia competitiva. También se consideran participantes del mercado las empresas que actualmente no suministran productos en el mercado relevante, pero que se han comprometido a ingresar al mercado en un futuro cercano.</w:t>
      </w:r>
    </w:p>
    <w:p w:rsidR="00000000" w:rsidDel="00000000" w:rsidP="00000000" w:rsidRDefault="00000000" w:rsidRPr="00000000" w14:paraId="00000197">
      <w:pPr>
        <w:spacing w:line="360" w:lineRule="auto"/>
        <w:jc w:val="both"/>
        <w:rPr>
          <w:color w:val="222222"/>
          <w:highlight w:val="white"/>
        </w:rPr>
      </w:pPr>
      <w:r w:rsidDel="00000000" w:rsidR="00000000" w:rsidRPr="00000000">
        <w:rPr>
          <w:color w:val="222222"/>
          <w:highlight w:val="white"/>
          <w:rtl w:val="0"/>
        </w:rPr>
        <w:t xml:space="preserve">También se consideran participantes en el mercado las empresas que actualmente no están activas en un mercado relevante, pero que muy probablemente ingresarían rápidamente con un impacto competitivo directo en caso de un cambio pequeño pero significativo en las condiciones competitivas, sin incurrir en costos irrecuperables significativos. Estas empresas se denominan “entrantes rápidos”. Los costos hundidos son costos de entrada o salida que no pueden recuperarse fuera de un mercado relevante. La entrada que se produciría más lentamente en respuesta a un cambio en las condiciones competitivas, o que requiere que las empresas incurran en costos hundidos significativos, se considera en la Sección IV.2 de las Directrices.</w:t>
      </w:r>
    </w:p>
    <w:p w:rsidR="00000000" w:rsidDel="00000000" w:rsidP="00000000" w:rsidRDefault="00000000" w:rsidRPr="00000000" w14:paraId="00000198">
      <w:pPr>
        <w:spacing w:line="360" w:lineRule="auto"/>
        <w:jc w:val="both"/>
        <w:rPr>
          <w:color w:val="222222"/>
          <w:highlight w:val="white"/>
        </w:rPr>
      </w:pPr>
      <w:r w:rsidDel="00000000" w:rsidR="00000000" w:rsidRPr="00000000">
        <w:rPr>
          <w:color w:val="222222"/>
          <w:highlight w:val="white"/>
          <w:rtl w:val="0"/>
        </w:rPr>
        <w:t xml:space="preserve">Las empresas que están activas en el mercado de productos relevante pero no en el mercado geográfico relevante pueden ingresar rápidamente. En igualdad de condiciones, es más probable que estas empresas entren rápidamente si ya están activas en zonas geográficas cercanas al mercado geográfico. Factores como los costos de transporte son importantes; o para servicios o bienes digitales, otros factores pueden ser importantes, como el idioma o la regulación.</w:t>
      </w:r>
    </w:p>
    <w:p w:rsidR="00000000" w:rsidDel="00000000" w:rsidP="00000000" w:rsidRDefault="00000000" w:rsidRPr="00000000" w14:paraId="00000199">
      <w:pPr>
        <w:spacing w:line="360" w:lineRule="auto"/>
        <w:jc w:val="both"/>
        <w:rPr>
          <w:color w:val="222222"/>
          <w:highlight w:val="white"/>
        </w:rPr>
      </w:pPr>
      <w:r w:rsidDel="00000000" w:rsidR="00000000" w:rsidRPr="00000000">
        <w:rPr>
          <w:color w:val="222222"/>
          <w:highlight w:val="white"/>
          <w:rtl w:val="0"/>
        </w:rPr>
        <w:t xml:space="preserve">En mercados de bienes relativamente homogéneos donde la capacidad de un proveedor para competir depende predominantemente de sus costos y su capacidad, y no de otros factores como la experiencia o la reputación en el mercado relevante, un proveedor con capacidad ociosa eficiente o capacidad “swing” fácilmente disponible actualmente utilizados en mercados adyacentes que pueden trasladarse fácil y rentablemente para servir al mercado relevante, pueden ser un entrante rápido. Sin embargo, la capacidad ociosa puede ser ineficiente y la capacidad utilizada en mercados adyacentes puede no estar disponible, por lo que la posesión por sí sola de capacidad ociosa o oscilante no la convierte en un entrante rápido.</w:t>
      </w:r>
    </w:p>
    <w:p w:rsidR="00000000" w:rsidDel="00000000" w:rsidP="00000000" w:rsidRDefault="00000000" w:rsidRPr="00000000" w14:paraId="0000019A">
      <w:pPr>
        <w:spacing w:line="360" w:lineRule="auto"/>
        <w:jc w:val="both"/>
        <w:rPr>
          <w:color w:val="222222"/>
          <w:highlight w:val="white"/>
        </w:rPr>
      </w:pPr>
      <w:r w:rsidDel="00000000" w:rsidR="00000000" w:rsidRPr="00000000">
        <w:rPr>
          <w:color w:val="222222"/>
          <w:highlight w:val="white"/>
          <w:rtl w:val="0"/>
        </w:rPr>
        <w:t xml:space="preserve">B. Cuotas de mercado</w:t>
      </w:r>
    </w:p>
    <w:p w:rsidR="00000000" w:rsidDel="00000000" w:rsidP="00000000" w:rsidRDefault="00000000" w:rsidRPr="00000000" w14:paraId="0000019B">
      <w:pPr>
        <w:spacing w:line="360" w:lineRule="auto"/>
        <w:jc w:val="both"/>
        <w:rPr>
          <w:color w:val="222222"/>
          <w:highlight w:val="white"/>
        </w:rPr>
      </w:pPr>
      <w:r w:rsidDel="00000000" w:rsidR="00000000" w:rsidRPr="00000000">
        <w:rPr>
          <w:color w:val="222222"/>
          <w:highlight w:val="white"/>
          <w:rtl w:val="0"/>
        </w:rPr>
        <w:t xml:space="preserve">Las Agencias normalmente calculan las cuotas de mercado de productos para todas las empresas que actualmente suministran productos (o consumen productos, cuando los compradores se fusionan) en un mercado relevante, sujeto a la disponibilidad de datos. Las Agencias miden la participación de mercado de cada empresa utilizando métricas que son informativas sobre las realidades comerciales de la competencia en el mercado particular y la importancia competitiva futura de las empresas. Al interpretar las acciones basándose en datos históricos, las Agencias pueden considerar si cambios significativos recientes o razonablemente previsibles en las condiciones del mercado sugieren que las acciones de una empresa exageran o subestiman su importancia competitiva futura.</w:t>
      </w:r>
    </w:p>
    <w:p w:rsidR="00000000" w:rsidDel="00000000" w:rsidP="00000000" w:rsidRDefault="00000000" w:rsidRPr="00000000" w14:paraId="0000019C">
      <w:pPr>
        <w:spacing w:line="360" w:lineRule="auto"/>
        <w:jc w:val="both"/>
        <w:rPr>
          <w:color w:val="222222"/>
          <w:highlight w:val="white"/>
        </w:rPr>
      </w:pPr>
      <w:r w:rsidDel="00000000" w:rsidR="00000000" w:rsidRPr="00000000">
        <w:rPr>
          <w:color w:val="222222"/>
          <w:highlight w:val="white"/>
          <w:rtl w:val="0"/>
        </w:rPr>
        <w:t xml:space="preserve">Inicio página 17</w:t>
      </w:r>
    </w:p>
    <w:p w:rsidR="00000000" w:rsidDel="00000000" w:rsidP="00000000" w:rsidRDefault="00000000" w:rsidRPr="00000000" w14:paraId="0000019D">
      <w:pPr>
        <w:spacing w:line="360" w:lineRule="auto"/>
        <w:jc w:val="both"/>
        <w:rPr>
          <w:color w:val="222222"/>
          <w:highlight w:val="white"/>
        </w:rPr>
      </w:pPr>
      <w:r w:rsidDel="00000000" w:rsidR="00000000" w:rsidRPr="00000000">
        <w:rPr>
          <w:color w:val="222222"/>
          <w:highlight w:val="white"/>
          <w:rtl w:val="0"/>
        </w:rPr>
        <w:t xml:space="preserve">La forma en que se calculan las cuotas de mercado puede depender además de las características de un mercado en particular y de la disponibilidad de datos. Además, múltiples métricas pueden resultar informativas en cualquier caso particular. Por ejemplo:</w:t>
      </w:r>
    </w:p>
    <w:p w:rsidR="00000000" w:rsidDel="00000000" w:rsidP="00000000" w:rsidRDefault="00000000" w:rsidRPr="00000000" w14:paraId="0000019E">
      <w:pPr>
        <w:spacing w:line="360" w:lineRule="auto"/>
        <w:jc w:val="both"/>
        <w:rPr>
          <w:color w:val="222222"/>
          <w:highlight w:val="white"/>
        </w:rPr>
      </w:pPr>
      <w:r w:rsidDel="00000000" w:rsidR="00000000" w:rsidRPr="00000000">
        <w:rPr>
          <w:color w:val="222222"/>
          <w:highlight w:val="white"/>
          <w:rtl w:val="0"/>
        </w:rPr>
        <w:t xml:space="preserve">Los ingresos en un mercado relevante a menudo proporcionan una base fácilmente disponible sobre la cual calcular las acciones y suelen ser una buena medida del atractivo para los clientes.</w:t>
      </w:r>
    </w:p>
    <w:p w:rsidR="00000000" w:rsidDel="00000000" w:rsidP="00000000" w:rsidRDefault="00000000" w:rsidRPr="00000000" w14:paraId="0000019F">
      <w:pPr>
        <w:spacing w:line="360" w:lineRule="auto"/>
        <w:jc w:val="both"/>
        <w:rPr>
          <w:color w:val="222222"/>
          <w:highlight w:val="white"/>
        </w:rPr>
      </w:pPr>
      <w:r w:rsidDel="00000000" w:rsidR="00000000" w:rsidRPr="00000000">
        <w:rPr>
          <w:color w:val="222222"/>
          <w:highlight w:val="white"/>
          <w:rtl w:val="0"/>
        </w:rPr>
        <w:t xml:space="preserve">Las ventas unitarias pueden proporcionar una medida útil de la importancia competitiva en los casos en que una unidad de un producto de bajo precio puede servir como un sustituto cercano de una unidad de un producto de mayor precio. Por ejemplo, un producto nuevo, mucho menos costoso, puede tener una gran importancia competitiva si erosiona sustancialmente los ingresos obtenidos por productos más antiguos y de mayor precio, incluso si genera ingresos relativamente bajos.</w:t>
      </w:r>
    </w:p>
    <w:p w:rsidR="00000000" w:rsidDel="00000000" w:rsidP="00000000" w:rsidRDefault="00000000" w:rsidRPr="00000000" w14:paraId="000001A0">
      <w:pPr>
        <w:spacing w:line="360" w:lineRule="auto"/>
        <w:jc w:val="both"/>
        <w:rPr>
          <w:color w:val="222222"/>
          <w:highlight w:val="white"/>
        </w:rPr>
      </w:pPr>
      <w:r w:rsidDel="00000000" w:rsidR="00000000" w:rsidRPr="00000000">
        <w:rPr>
          <w:color w:val="222222"/>
          <w:highlight w:val="white"/>
          <w:rtl w:val="0"/>
        </w:rPr>
        <w:t xml:space="preserve">Los ingresos obtenidos de clientes recientemente adquiridos (o pagados a compradores recientemente adquiridos, en el caso de compradores fusionados) pueden proporcionar una medida útil de la importancia competitiva de las empresas en los casos en que los socios comerciales firman contratos a largo plazo, enfrentan costos de cambio o tienden a renovar. -evaluar sus relaciones sólo ocasionalmente.</w:t>
      </w:r>
    </w:p>
    <w:p w:rsidR="00000000" w:rsidDel="00000000" w:rsidP="00000000" w:rsidRDefault="00000000" w:rsidRPr="00000000" w14:paraId="000001A1">
      <w:pPr>
        <w:spacing w:line="360" w:lineRule="auto"/>
        <w:jc w:val="both"/>
        <w:rPr>
          <w:color w:val="222222"/>
          <w:highlight w:val="white"/>
        </w:rPr>
      </w:pPr>
      <w:r w:rsidDel="00000000" w:rsidR="00000000" w:rsidRPr="00000000">
        <w:rPr>
          <w:color w:val="222222"/>
          <w:highlight w:val="white"/>
          <w:rtl w:val="0"/>
        </w:rPr>
        <w:t xml:space="preserve">Se pueden utilizar medidas basadas en capacidades o reservas para calcular cuotas de mercado en mercados de productos homogéneos donde la importancia competitiva de una empresa puede derivarse principalmente de su capacidad e incentivo para expandir rápidamente la producción en un mercado relevante en respuesta a un aumento de precios o una reducción de la producción por parte de otros. en ese mercado (o ampliar rápidamente sus compras en el caso de fusiones de compradores).</w:t>
      </w:r>
    </w:p>
    <w:p w:rsidR="00000000" w:rsidDel="00000000" w:rsidP="00000000" w:rsidRDefault="00000000" w:rsidRPr="00000000" w14:paraId="000001A2">
      <w:pPr>
        <w:spacing w:line="360" w:lineRule="auto"/>
        <w:jc w:val="both"/>
        <w:rPr>
          <w:color w:val="222222"/>
          <w:highlight w:val="white"/>
        </w:rPr>
      </w:pPr>
      <w:r w:rsidDel="00000000" w:rsidR="00000000" w:rsidRPr="00000000">
        <w:rPr>
          <w:color w:val="222222"/>
          <w:highlight w:val="white"/>
          <w:rtl w:val="0"/>
        </w:rPr>
        <w:t xml:space="preserve">Los indicadores no relacionados con el precio, como el número de usuarios o la frecuencia de uso, pueden ser indicadores útiles en mercados donde el precio constituye una parte relativamente pequeña o nula del intercambio de valor.</w:t>
      </w:r>
    </w:p>
    <w:p w:rsidR="00000000" w:rsidDel="00000000" w:rsidP="00000000" w:rsidRDefault="00000000" w:rsidRPr="00000000" w14:paraId="000001A3">
      <w:pPr>
        <w:spacing w:line="360" w:lineRule="auto"/>
        <w:jc w:val="both"/>
        <w:rPr>
          <w:color w:val="222222"/>
          <w:highlight w:val="white"/>
        </w:rPr>
      </w:pPr>
      <w:r w:rsidDel="00000000" w:rsidR="00000000" w:rsidRPr="00000000">
        <w:rPr>
          <w:color w:val="222222"/>
          <w:highlight w:val="white"/>
          <w:rtl w:val="0"/>
        </w:rPr>
        <w:t xml:space="preserve">Pies de página de Pautas para fusiones Departamento de Justicia de EE. UU. y la Comisión Federal de Comercio</w:t>
      </w:r>
    </w:p>
    <w:p w:rsidR="00000000" w:rsidDel="00000000" w:rsidP="00000000" w:rsidRDefault="00000000" w:rsidRPr="00000000" w14:paraId="000001A4">
      <w:pPr>
        <w:spacing w:line="360" w:lineRule="auto"/>
        <w:jc w:val="both"/>
        <w:rPr>
          <w:color w:val="222222"/>
          <w:highlight w:val="white"/>
        </w:rPr>
      </w:pPr>
      <w:r w:rsidDel="00000000" w:rsidR="00000000" w:rsidRPr="00000000">
        <w:rPr>
          <w:color w:val="222222"/>
          <w:highlight w:val="white"/>
          <w:rtl w:val="0"/>
        </w:rPr>
        <w:t xml:space="preserve">1* Modificada según la Ley Antifusiones Celler-Kefauver de 1950, Ley Pública 81-899, 64 Stat. 1125, y la Ley de Mejoras Antimonopolio HartScott-Rodino de 1976, 15 USC § 18a.</w:t>
      </w:r>
    </w:p>
    <w:p w:rsidR="00000000" w:rsidDel="00000000" w:rsidP="00000000" w:rsidRDefault="00000000" w:rsidRPr="00000000" w14:paraId="000001A5">
      <w:pPr>
        <w:spacing w:line="360" w:lineRule="auto"/>
        <w:jc w:val="both"/>
        <w:rPr>
          <w:color w:val="222222"/>
          <w:highlight w:val="white"/>
        </w:rPr>
      </w:pPr>
      <w:r w:rsidDel="00000000" w:rsidR="00000000" w:rsidRPr="00000000">
        <w:rPr>
          <w:color w:val="222222"/>
          <w:highlight w:val="white"/>
          <w:rtl w:val="0"/>
        </w:rPr>
        <w:t xml:space="preserve">2* Las fusiones también pueden violar, entre otras, las Secciones 1 y 2 de la Ley Sherman o la Sección 5 de la Ley de la FTC.</w:t>
      </w:r>
    </w:p>
    <w:p w:rsidR="00000000" w:rsidDel="00000000" w:rsidP="00000000" w:rsidRDefault="00000000" w:rsidRPr="00000000" w14:paraId="000001A6">
      <w:pPr>
        <w:spacing w:line="360" w:lineRule="auto"/>
        <w:jc w:val="both"/>
        <w:rPr>
          <w:color w:val="222222"/>
          <w:highlight w:val="white"/>
        </w:rPr>
      </w:pPr>
      <w:r w:rsidDel="00000000" w:rsidR="00000000" w:rsidRPr="00000000">
        <w:rPr>
          <w:color w:val="222222"/>
          <w:highlight w:val="white"/>
          <w:rtl w:val="0"/>
        </w:rPr>
        <w:t xml:space="preserve">3* 15 USC § 18.</w:t>
      </w:r>
    </w:p>
    <w:p w:rsidR="00000000" w:rsidDel="00000000" w:rsidP="00000000" w:rsidRDefault="00000000" w:rsidRPr="00000000" w14:paraId="000001A7">
      <w:pPr>
        <w:spacing w:line="360" w:lineRule="auto"/>
        <w:jc w:val="both"/>
        <w:rPr>
          <w:color w:val="222222"/>
          <w:highlight w:val="white"/>
        </w:rPr>
      </w:pPr>
      <w:r w:rsidDel="00000000" w:rsidR="00000000" w:rsidRPr="00000000">
        <w:rPr>
          <w:color w:val="222222"/>
          <w:highlight w:val="white"/>
          <w:rtl w:val="0"/>
        </w:rPr>
        <w:t xml:space="preserve">4* Brown Shoe Co. contra Estados Unidos, 370 US 294, 346 (1962) (“Brown Shoe”</w:t>
      </w:r>
    </w:p>
    <w:p w:rsidR="00000000" w:rsidDel="00000000" w:rsidP="00000000" w:rsidRDefault="00000000" w:rsidRPr="00000000" w14:paraId="000001A8">
      <w:pPr>
        <w:spacing w:line="360" w:lineRule="auto"/>
        <w:jc w:val="both"/>
        <w:rPr>
          <w:color w:val="222222"/>
          <w:highlight w:val="white"/>
        </w:rPr>
      </w:pPr>
      <w:r w:rsidDel="00000000" w:rsidR="00000000" w:rsidRPr="00000000">
        <w:rPr>
          <w:color w:val="222222"/>
          <w:highlight w:val="white"/>
          <w:rtl w:val="0"/>
        </w:rPr>
        <w:t xml:space="preserve">5* California contra Am. Stores Co., 495 US 271, 284 (1990) (citando 15 USC § 18 con énfasis) (citando Brown Shoe, 370 US en 323).</w:t>
      </w:r>
    </w:p>
    <w:p w:rsidR="00000000" w:rsidDel="00000000" w:rsidP="00000000" w:rsidRDefault="00000000" w:rsidRPr="00000000" w14:paraId="000001A9">
      <w:pPr>
        <w:spacing w:line="360" w:lineRule="auto"/>
        <w:jc w:val="both"/>
        <w:rPr>
          <w:color w:val="222222"/>
          <w:highlight w:val="white"/>
        </w:rPr>
      </w:pPr>
      <w:r w:rsidDel="00000000" w:rsidR="00000000" w:rsidRPr="00000000">
        <w:rPr>
          <w:color w:val="222222"/>
          <w:highlight w:val="white"/>
          <w:rtl w:val="0"/>
        </w:rPr>
        <w:t xml:space="preserve">6* Estados Unidos contra Penn-Olin Chemical Co., 378 US 158, 170-71 (1964).</w:t>
      </w:r>
    </w:p>
    <w:p w:rsidR="00000000" w:rsidDel="00000000" w:rsidP="00000000" w:rsidRDefault="00000000" w:rsidRPr="00000000" w14:paraId="000001AA">
      <w:pPr>
        <w:spacing w:line="360" w:lineRule="auto"/>
        <w:jc w:val="both"/>
        <w:rPr>
          <w:color w:val="222222"/>
          <w:highlight w:val="white"/>
        </w:rPr>
      </w:pPr>
      <w:r w:rsidDel="00000000" w:rsidR="00000000" w:rsidRPr="00000000">
        <w:rPr>
          <w:color w:val="222222"/>
          <w:highlight w:val="white"/>
          <w:rtl w:val="0"/>
        </w:rPr>
        <w:t xml:space="preserve">7* Estados Unidos contra Gen. Dynamics Corp., 415 US 486, 498 (1974) (citando a Brown Shoe, 370 US en 321-22) (“Gen. Dynamics”).</w:t>
      </w:r>
    </w:p>
    <w:p w:rsidR="00000000" w:rsidDel="00000000" w:rsidP="00000000" w:rsidRDefault="00000000" w:rsidRPr="00000000" w14:paraId="000001AB">
      <w:pPr>
        <w:spacing w:line="360" w:lineRule="auto"/>
        <w:jc w:val="both"/>
        <w:rPr>
          <w:color w:val="222222"/>
          <w:highlight w:val="white"/>
        </w:rPr>
      </w:pPr>
      <w:r w:rsidDel="00000000" w:rsidR="00000000" w:rsidRPr="00000000">
        <w:rPr>
          <w:color w:val="222222"/>
          <w:highlight w:val="white"/>
          <w:rtl w:val="0"/>
        </w:rPr>
        <w:t xml:space="preserve">8* Estados Unidos contra Filadelfia. Nat'l Bank, 374 US 321, 362-63 (1963) (Phila. Nat'l Bank)</w:t>
      </w:r>
    </w:p>
    <w:p w:rsidR="00000000" w:rsidDel="00000000" w:rsidP="00000000" w:rsidRDefault="00000000" w:rsidRPr="00000000" w14:paraId="000001AC">
      <w:pPr>
        <w:spacing w:line="360" w:lineRule="auto"/>
        <w:jc w:val="both"/>
        <w:rPr>
          <w:color w:val="222222"/>
          <w:highlight w:val="white"/>
        </w:rPr>
      </w:pPr>
      <w:r w:rsidDel="00000000" w:rsidR="00000000" w:rsidRPr="00000000">
        <w:rPr>
          <w:color w:val="222222"/>
          <w:highlight w:val="white"/>
          <w:rtl w:val="0"/>
        </w:rPr>
        <w:t xml:space="preserve">9* Véase, por ejemplo, Fila. Nat'l Bank, 374 US en 363, modificado por Gen. Dynamics, 415 US en 498 (ver Sección IV).</w:t>
      </w:r>
    </w:p>
    <w:p w:rsidR="00000000" w:rsidDel="00000000" w:rsidP="00000000" w:rsidRDefault="00000000" w:rsidRPr="00000000" w14:paraId="000001AD">
      <w:pPr>
        <w:spacing w:line="360" w:lineRule="auto"/>
        <w:jc w:val="both"/>
        <w:rPr>
          <w:color w:val="222222"/>
          <w:highlight w:val="white"/>
        </w:rPr>
      </w:pPr>
      <w:r w:rsidDel="00000000" w:rsidR="00000000" w:rsidRPr="00000000">
        <w:rPr>
          <w:color w:val="222222"/>
          <w:highlight w:val="white"/>
          <w:rtl w:val="0"/>
        </w:rPr>
        <w:t xml:space="preserve">10* Véase, por ejemplo, ProMedica Health System, Inc. v. FTC, 749 F.3d 559, 568-70 (6th Cir. 2014), cert. denegado, 575 US 996 (2015).</w:t>
      </w:r>
    </w:p>
    <w:p w:rsidR="00000000" w:rsidDel="00000000" w:rsidP="00000000" w:rsidRDefault="00000000" w:rsidRPr="00000000" w14:paraId="000001AE">
      <w:pPr>
        <w:spacing w:line="360" w:lineRule="auto"/>
        <w:jc w:val="both"/>
        <w:rPr>
          <w:color w:val="222222"/>
          <w:highlight w:val="white"/>
        </w:rPr>
      </w:pPr>
      <w:r w:rsidDel="00000000" w:rsidR="00000000" w:rsidRPr="00000000">
        <w:rPr>
          <w:color w:val="222222"/>
          <w:highlight w:val="white"/>
          <w:rtl w:val="0"/>
        </w:rPr>
        <w:t xml:space="preserve">11* Véase, por ejemplo, Hospital Corp. of America v. FTC, 807 F.2d 1381, 1387-89 (7th Cir. 1986) (Posner, J.).</w:t>
      </w:r>
    </w:p>
    <w:p w:rsidR="00000000" w:rsidDel="00000000" w:rsidP="00000000" w:rsidRDefault="00000000" w:rsidRPr="00000000" w14:paraId="000001AF">
      <w:pPr>
        <w:spacing w:line="360" w:lineRule="auto"/>
        <w:jc w:val="both"/>
        <w:rPr>
          <w:color w:val="222222"/>
          <w:highlight w:val="white"/>
        </w:rPr>
      </w:pPr>
      <w:r w:rsidDel="00000000" w:rsidR="00000000" w:rsidRPr="00000000">
        <w:rPr>
          <w:color w:val="222222"/>
          <w:highlight w:val="white"/>
          <w:rtl w:val="0"/>
        </w:rPr>
        <w:t xml:space="preserve">12* Véase, por ejemplo, Estados Unidos contra Marine Bancorp., 418 US 602, 623-26 (1974).</w:t>
      </w:r>
    </w:p>
    <w:p w:rsidR="00000000" w:rsidDel="00000000" w:rsidP="00000000" w:rsidRDefault="00000000" w:rsidRPr="00000000" w14:paraId="000001B0">
      <w:pPr>
        <w:spacing w:line="360" w:lineRule="auto"/>
        <w:jc w:val="both"/>
        <w:rPr>
          <w:color w:val="222222"/>
          <w:highlight w:val="white"/>
        </w:rPr>
      </w:pPr>
      <w:r w:rsidDel="00000000" w:rsidR="00000000" w:rsidRPr="00000000">
        <w:rPr>
          <w:color w:val="222222"/>
          <w:highlight w:val="white"/>
          <w:rtl w:val="0"/>
        </w:rPr>
        <w:t xml:space="preserve">13* Véase Estados Unidos contra AT&amp;T, 916 F.3d 1029, 1035-36 (DC Cir. 2019).</w:t>
      </w:r>
    </w:p>
    <w:p w:rsidR="00000000" w:rsidDel="00000000" w:rsidP="00000000" w:rsidRDefault="00000000" w:rsidRPr="00000000" w14:paraId="000001B1">
      <w:pPr>
        <w:spacing w:line="360" w:lineRule="auto"/>
        <w:jc w:val="both"/>
        <w:rPr>
          <w:color w:val="222222"/>
          <w:highlight w:val="white"/>
        </w:rPr>
      </w:pPr>
      <w:r w:rsidDel="00000000" w:rsidR="00000000" w:rsidRPr="00000000">
        <w:rPr>
          <w:color w:val="222222"/>
          <w:highlight w:val="white"/>
          <w:rtl w:val="0"/>
        </w:rPr>
        <w:t xml:space="preserve">14* Véase, por ejemplo, Ford Motor Co. c. Estados Unidos, 405 US 562 (1972).</w:t>
      </w:r>
    </w:p>
    <w:p w:rsidR="00000000" w:rsidDel="00000000" w:rsidP="00000000" w:rsidRDefault="00000000" w:rsidRPr="00000000" w14:paraId="000001B2">
      <w:pPr>
        <w:spacing w:line="360" w:lineRule="auto"/>
        <w:jc w:val="both"/>
        <w:rPr>
          <w:color w:val="222222"/>
          <w:highlight w:val="white"/>
        </w:rPr>
      </w:pPr>
      <w:r w:rsidDel="00000000" w:rsidR="00000000" w:rsidRPr="00000000">
        <w:rPr>
          <w:color w:val="222222"/>
          <w:highlight w:val="white"/>
          <w:rtl w:val="0"/>
        </w:rPr>
        <w:t xml:space="preserve">15* Zapato marrón, 370 US en 324.</w:t>
      </w:r>
    </w:p>
    <w:p w:rsidR="00000000" w:rsidDel="00000000" w:rsidP="00000000" w:rsidRDefault="00000000" w:rsidRPr="00000000" w14:paraId="000001B3">
      <w:pPr>
        <w:spacing w:line="360" w:lineRule="auto"/>
        <w:jc w:val="both"/>
        <w:rPr>
          <w:color w:val="222222"/>
          <w:highlight w:val="white"/>
        </w:rPr>
      </w:pPr>
      <w:r w:rsidDel="00000000" w:rsidR="00000000" w:rsidRPr="00000000">
        <w:rPr>
          <w:color w:val="222222"/>
          <w:highlight w:val="white"/>
          <w:rtl w:val="0"/>
        </w:rPr>
        <w:t xml:space="preserve">16* Véase, por ejemplo, FTC contra Procter &amp; Gamble Co., 386 US 568, 577-78 (1967).</w:t>
      </w:r>
    </w:p>
    <w:p w:rsidR="00000000" w:rsidDel="00000000" w:rsidP="00000000" w:rsidRDefault="00000000" w:rsidRPr="00000000" w14:paraId="000001B4">
      <w:pPr>
        <w:spacing w:line="360" w:lineRule="auto"/>
        <w:jc w:val="both"/>
        <w:rPr>
          <w:color w:val="222222"/>
          <w:highlight w:val="white"/>
        </w:rPr>
      </w:pPr>
      <w:r w:rsidDel="00000000" w:rsidR="00000000" w:rsidRPr="00000000">
        <w:rPr>
          <w:color w:val="222222"/>
          <w:highlight w:val="white"/>
          <w:rtl w:val="0"/>
        </w:rPr>
        <w:t xml:space="preserve">17* Véase, por ejemplo, Gen. Dynamics, 415 US en 497-98; Estados Unidos contra Pabst Brewing Co., 384 US 546, 552-53 (1966).</w:t>
      </w:r>
    </w:p>
    <w:p w:rsidR="00000000" w:rsidDel="00000000" w:rsidP="00000000" w:rsidRDefault="00000000" w:rsidRPr="00000000" w14:paraId="000001B5">
      <w:pPr>
        <w:spacing w:line="360" w:lineRule="auto"/>
        <w:jc w:val="both"/>
        <w:rPr>
          <w:color w:val="222222"/>
          <w:highlight w:val="white"/>
        </w:rPr>
      </w:pPr>
      <w:r w:rsidDel="00000000" w:rsidR="00000000" w:rsidRPr="00000000">
        <w:rPr>
          <w:color w:val="222222"/>
          <w:highlight w:val="white"/>
          <w:rtl w:val="0"/>
        </w:rPr>
        <w:t xml:space="preserve">18* Véase HR Rep. No. 1191, 81.º Congreso, 2.ª sesión. 12-13 (1950).</w:t>
      </w:r>
    </w:p>
    <w:p w:rsidR="00000000" w:rsidDel="00000000" w:rsidP="00000000" w:rsidRDefault="00000000" w:rsidRPr="00000000" w14:paraId="000001B6">
      <w:pPr>
        <w:spacing w:line="360" w:lineRule="auto"/>
        <w:jc w:val="both"/>
        <w:rPr>
          <w:color w:val="222222"/>
          <w:highlight w:val="white"/>
        </w:rPr>
      </w:pPr>
      <w:r w:rsidDel="00000000" w:rsidR="00000000" w:rsidRPr="00000000">
        <w:rPr>
          <w:color w:val="222222"/>
          <w:highlight w:val="white"/>
          <w:rtl w:val="0"/>
        </w:rPr>
        <w:t xml:space="preserve">19* Véase, por ejemplo, Mandeville IslandFarms v. Am. Crystal Sugar Co., 334 Estados Unidos 219, 235 (1948).</w:t>
      </w:r>
    </w:p>
    <w:p w:rsidR="00000000" w:rsidDel="00000000" w:rsidP="00000000" w:rsidRDefault="00000000" w:rsidRPr="00000000" w14:paraId="000001B7">
      <w:pPr>
        <w:spacing w:line="360" w:lineRule="auto"/>
        <w:jc w:val="both"/>
        <w:rPr>
          <w:color w:val="222222"/>
          <w:highlight w:val="white"/>
        </w:rPr>
      </w:pPr>
      <w:r w:rsidDel="00000000" w:rsidR="00000000" w:rsidRPr="00000000">
        <w:rPr>
          <w:color w:val="222222"/>
          <w:highlight w:val="white"/>
          <w:rtl w:val="0"/>
        </w:rPr>
        <w:t xml:space="preserve">20* Véase, por ejemplo, Denver &amp; Rio Grande v. Estados Unidos, 387 US 485, 504 (1967).</w:t>
      </w:r>
    </w:p>
    <w:p w:rsidR="00000000" w:rsidDel="00000000" w:rsidP="00000000" w:rsidRDefault="00000000" w:rsidRPr="00000000" w14:paraId="000001B8">
      <w:pPr>
        <w:spacing w:line="360" w:lineRule="auto"/>
        <w:jc w:val="both"/>
        <w:rPr>
          <w:color w:val="222222"/>
          <w:highlight w:val="white"/>
        </w:rPr>
      </w:pPr>
      <w:r w:rsidDel="00000000" w:rsidR="00000000" w:rsidRPr="00000000">
        <w:rPr>
          <w:color w:val="222222"/>
          <w:highlight w:val="white"/>
          <w:rtl w:val="0"/>
        </w:rPr>
        <w:t xml:space="preserve">21* Estas Directrices se refieren únicamente a la consideración de si una fusión o adquisición es ilegal. La consideración de soluciones apropiadas para fusiones y adquisiciones que de otro modo serían ilegales está fuera de su alcance. Las Agencias revisan propuestas para revisar una fusión con el fin de aliviar las preocupaciones competitivas de conformidad con la ley aplicable en materia de soluciones.</w:t>
      </w:r>
    </w:p>
    <w:p w:rsidR="00000000" w:rsidDel="00000000" w:rsidP="00000000" w:rsidRDefault="00000000" w:rsidRPr="00000000" w14:paraId="000001B9">
      <w:pPr>
        <w:spacing w:line="360" w:lineRule="auto"/>
        <w:jc w:val="both"/>
        <w:rPr>
          <w:color w:val="222222"/>
          <w:highlight w:val="white"/>
        </w:rPr>
      </w:pPr>
      <w:r w:rsidDel="00000000" w:rsidR="00000000" w:rsidRPr="00000000">
        <w:rPr>
          <w:color w:val="222222"/>
          <w:highlight w:val="white"/>
          <w:rtl w:val="0"/>
        </w:rPr>
        <w:t xml:space="preserve">22* Filadelfia. Banco Nacional, 374 EE.UU. en 363 (1963).</w:t>
      </w:r>
    </w:p>
    <w:p w:rsidR="00000000" w:rsidDel="00000000" w:rsidP="00000000" w:rsidRDefault="00000000" w:rsidRPr="00000000" w14:paraId="000001BA">
      <w:pPr>
        <w:spacing w:line="360" w:lineRule="auto"/>
        <w:jc w:val="both"/>
        <w:rPr>
          <w:color w:val="222222"/>
          <w:highlight w:val="white"/>
        </w:rPr>
      </w:pPr>
      <w:r w:rsidDel="00000000" w:rsidR="00000000" w:rsidRPr="00000000">
        <w:rPr>
          <w:color w:val="222222"/>
          <w:highlight w:val="white"/>
          <w:rtl w:val="0"/>
        </w:rPr>
        <w:t xml:space="preserve">23* Estas Directrices utilizan el término “productos” para abarcar todo lo que se comercializa entre las empresas y sus proveedores, clientes o socios comerciales, incluidos bienes físicos, servicios o acceso a activos. Los productos pueden ser tan limitados como una marca individual, una versión específica de un producto o un producto que incluye servicios auxiliares específicos, como el derecho a devolverlo sin motivo o la entrega en la ubicación del cliente.</w:t>
      </w:r>
    </w:p>
    <w:p w:rsidR="00000000" w:rsidDel="00000000" w:rsidP="00000000" w:rsidRDefault="00000000" w:rsidRPr="00000000" w14:paraId="000001BB">
      <w:pPr>
        <w:spacing w:line="360" w:lineRule="auto"/>
        <w:jc w:val="both"/>
        <w:rPr>
          <w:color w:val="222222"/>
          <w:highlight w:val="white"/>
        </w:rPr>
      </w:pPr>
      <w:r w:rsidDel="00000000" w:rsidR="00000000" w:rsidRPr="00000000">
        <w:rPr>
          <w:color w:val="222222"/>
          <w:highlight w:val="white"/>
          <w:rtl w:val="0"/>
        </w:rPr>
        <w:t xml:space="preserve">24* En el contexto de los compradores, la concentración refleja el número y el tamaño relativo de las empresas que compiten para comprar un producto o servicio.</w:t>
      </w:r>
    </w:p>
    <w:p w:rsidR="00000000" w:rsidDel="00000000" w:rsidP="00000000" w:rsidRDefault="00000000" w:rsidRPr="00000000" w14:paraId="000001BC">
      <w:pPr>
        <w:spacing w:line="360" w:lineRule="auto"/>
        <w:jc w:val="both"/>
        <w:rPr>
          <w:color w:val="222222"/>
          <w:highlight w:val="white"/>
        </w:rPr>
      </w:pPr>
      <w:r w:rsidDel="00000000" w:rsidR="00000000" w:rsidRPr="00000000">
        <w:rPr>
          <w:color w:val="222222"/>
          <w:highlight w:val="white"/>
          <w:rtl w:val="0"/>
        </w:rPr>
        <w:t xml:space="preserve">25* Normalmente, una fusión elimina a un competidor al poner a dos participantes del mercado bajo control común. Surgen preocupaciones similares si la fusión amenaza con causar la salida de un participante actual del mercado, como una compra apalancada que pone a la empresa objetivo en un riesgo significativo de quiebra.</w:t>
      </w:r>
    </w:p>
    <w:p w:rsidR="00000000" w:rsidDel="00000000" w:rsidP="00000000" w:rsidRDefault="00000000" w:rsidRPr="00000000" w14:paraId="000001BD">
      <w:pPr>
        <w:spacing w:line="360" w:lineRule="auto"/>
        <w:jc w:val="both"/>
        <w:rPr>
          <w:color w:val="222222"/>
          <w:highlight w:val="white"/>
        </w:rPr>
      </w:pPr>
      <w:r w:rsidDel="00000000" w:rsidR="00000000" w:rsidRPr="00000000">
        <w:rPr>
          <w:color w:val="222222"/>
          <w:highlight w:val="white"/>
          <w:rtl w:val="0"/>
        </w:rPr>
        <w:t xml:space="preserve">26* A modo de ejemplo, el HHI para un mercado de cinco empresas iguales es 2.000 (5 x 202 = 2.000), y para seis empresas iguales es 1.667 (6 x 16,672 = 1.667). Los mercados con un HHI entre 1000 y 1800 se denominan “mercados concentrados”.</w:t>
      </w:r>
    </w:p>
    <w:p w:rsidR="00000000" w:rsidDel="00000000" w:rsidP="00000000" w:rsidRDefault="00000000" w:rsidRPr="00000000" w14:paraId="000001BE">
      <w:pPr>
        <w:spacing w:line="360" w:lineRule="auto"/>
        <w:jc w:val="both"/>
        <w:rPr>
          <w:color w:val="222222"/>
          <w:highlight w:val="white"/>
        </w:rPr>
      </w:pPr>
      <w:r w:rsidDel="00000000" w:rsidR="00000000" w:rsidRPr="00000000">
        <w:rPr>
          <w:color w:val="222222"/>
          <w:highlight w:val="white"/>
          <w:rtl w:val="0"/>
        </w:rPr>
        <w:t xml:space="preserve">27* El cambio en HHI por una fusión de empresas con acciones a y b es igual a lab. Por ejemplo, en una fusión entre una empresa con una participación de mercado del 20% y una empresa con una participación de mercado del 5%, el cambio en HHI es 2 x 20 x 5 = 200.</w:t>
      </w:r>
    </w:p>
    <w:p w:rsidR="00000000" w:rsidDel="00000000" w:rsidP="00000000" w:rsidRDefault="00000000" w:rsidRPr="00000000" w14:paraId="000001BF">
      <w:pPr>
        <w:spacing w:line="360" w:lineRule="auto"/>
        <w:jc w:val="both"/>
        <w:rPr>
          <w:color w:val="222222"/>
          <w:highlight w:val="white"/>
        </w:rPr>
      </w:pPr>
      <w:r w:rsidDel="00000000" w:rsidR="00000000" w:rsidRPr="00000000">
        <w:rPr>
          <w:color w:val="222222"/>
          <w:highlight w:val="white"/>
          <w:rtl w:val="0"/>
        </w:rPr>
        <w:t xml:space="preserve">28* Filadelfia. Nat'l Bank, 374 US en 364-65 (“Sin intentar especificar la participación de mercado más pequeña que aún se consideraría que amenaza una concentración indebida, tenemos claro que el 30% presenta esa amenaza”).</w:t>
      </w:r>
    </w:p>
    <w:p w:rsidR="00000000" w:rsidDel="00000000" w:rsidP="00000000" w:rsidRDefault="00000000" w:rsidRPr="00000000" w14:paraId="000001C0">
      <w:pPr>
        <w:spacing w:line="360" w:lineRule="auto"/>
        <w:jc w:val="both"/>
        <w:rPr>
          <w:color w:val="222222"/>
          <w:highlight w:val="white"/>
        </w:rPr>
      </w:pPr>
      <w:r w:rsidDel="00000000" w:rsidR="00000000" w:rsidRPr="00000000">
        <w:rPr>
          <w:color w:val="222222"/>
          <w:highlight w:val="white"/>
          <w:rtl w:val="0"/>
        </w:rPr>
        <w:t xml:space="preserve">29* Las primeras directrices sobre fusiones que hicieron referencia a un umbral de HHI fueron las publicadas en 1982, que utilizaban el umbral de 1.800 HHI para un mercado altamente concentrado. y 100 HHI para un aumento significativo. Cada iteración posterior hasta 2010 mantuvo esos umbrales. Ver Reserva Federal. Directrices sobre fusiones horizontales del Comité de Comercio y el Departamento de Justicia de Estados Unidos (1992), § 1.51; Alimentado. Directrices sobre fusiones horizontales del Comité de Comercio y el Departamento de Justicia de EE.UU. (1997), § 1.51; Directrices sobre fusiones del Departamento de Justicia de EE. UU. (1982), § 3(A). Durante este tiempo, los tribunales citaban habitualmente las directrices y estos umbrales de HHI en sus decisiones. Véase, por ejemplo, Chicago Bridge &amp; Ivon Co. NV v. FTC., 534 F.3d 410, 431 (5th Cir. 2008); FTC. contra HJ Heinz Co.. 246 F.3d 708, 716 (DC Cir. 2001); FTC. contra la Universidad. Health, Inc., 938 F.2d 1206. 1211 (1° Cir. 1991); FTC contra PPG Indus., Inc., 798 F.2d 1500, 1503 (DC Cir. 1986) (basándose en las directrices de fusión de 1984 del Departamento de Justicia); Estados Unidos contra Baker Hughes Inc., 908 F.2d 981, 983 (DC Cir. 1990) (que hace referencia a las directrices del Departamento de Justicia de 1984). En la práctica. Las Agencias tendieron a cuestionar las fusiones que excedían con creces estos umbrales para centrar sus recursos limitados en las transacciones más problemáticas. Los umbrales más permisivos incluidos en las Directrices sobre fusiones horizontales de 2010 reflejaban esa práctica de la agencia. en lugar de un juicio sobre los umbrales apropiados para la competencia o los requisitos de la ley. Las Agencias consideran un umbral de 1.800 HHI posterior a la fusión y un aumento en el HHI de 100 para reflejar mejor tanto la ley como los riesgos de daño competitivo y, por lo tanto, han vuelto a esos umbrales aquí.</w:t>
      </w:r>
    </w:p>
    <w:p w:rsidR="00000000" w:rsidDel="00000000" w:rsidP="00000000" w:rsidRDefault="00000000" w:rsidRPr="00000000" w14:paraId="000001C1">
      <w:pPr>
        <w:spacing w:line="360" w:lineRule="auto"/>
        <w:jc w:val="both"/>
        <w:rPr>
          <w:color w:val="222222"/>
          <w:highlight w:val="white"/>
        </w:rPr>
      </w:pPr>
      <w:r w:rsidDel="00000000" w:rsidR="00000000" w:rsidRPr="00000000">
        <w:rPr>
          <w:color w:val="222222"/>
          <w:highlight w:val="white"/>
          <w:rtl w:val="0"/>
        </w:rPr>
        <w:t xml:space="preserve">30* 15 USC § 18. Véase también Estados Unidos v. First Nat'l Bank &amp; Trust Co. of Lexington, 376 US 665, 669-70 (1964) (“[está] claro que la eliminación de la competencia significativa entre [las fusiones] partes] constituye una restricción irrazonable del comercio en violación del § 1 de la Ley Sherman.... [Puede ser] suficiente que los dos... compitan [ ]. Que su competencia [no sea] insustancial y que la combinación [ pondría] fin a esto.”); ProMedica Health System, Inc. contra FTC, 749 F.3d 559, 568-70 (6th Cir. 2014), cert. denegado, 575 US 996 (2015). El efecto sobre la competencia de la eliminación de la competencia entre las empresas que se fusionan, sin considerar el riesgo de coordinación entre las empresas restantes, a veces se denomina “efectos unilaterales horizontales”.</w:t>
      </w:r>
    </w:p>
    <w:p w:rsidR="00000000" w:rsidDel="00000000" w:rsidP="00000000" w:rsidRDefault="00000000" w:rsidRPr="00000000" w14:paraId="000001C2">
      <w:pPr>
        <w:spacing w:line="360" w:lineRule="auto"/>
        <w:jc w:val="both"/>
        <w:rPr>
          <w:color w:val="222222"/>
          <w:highlight w:val="white"/>
        </w:rPr>
      </w:pPr>
      <w:r w:rsidDel="00000000" w:rsidR="00000000" w:rsidRPr="00000000">
        <w:rPr>
          <w:color w:val="222222"/>
          <w:highlight w:val="white"/>
          <w:rtl w:val="0"/>
        </w:rPr>
        <w:t xml:space="preserve">31* Ver Brooke Grp. Ltd. v. Brown &amp; Williamson Tobacco Corp., 509 US 209, 229-30 (1993) (“En el contexto del § 7, hace tiempo que se ha establecido que la concentración excesiva, y la coordinación oligopólica de precios que presagia, puede ser el daño a la competencia que la Ley prohíbe”).</w:t>
      </w:r>
    </w:p>
    <w:p w:rsidR="00000000" w:rsidDel="00000000" w:rsidP="00000000" w:rsidRDefault="00000000" w:rsidRPr="00000000" w14:paraId="000001C3">
      <w:pPr>
        <w:spacing w:line="360" w:lineRule="auto"/>
        <w:jc w:val="both"/>
        <w:rPr>
          <w:color w:val="222222"/>
          <w:highlight w:val="white"/>
        </w:rPr>
      </w:pPr>
      <w:r w:rsidDel="00000000" w:rsidR="00000000" w:rsidRPr="00000000">
        <w:rPr>
          <w:color w:val="222222"/>
          <w:highlight w:val="white"/>
          <w:rtl w:val="0"/>
        </w:rPr>
        <w:t xml:space="preserve">32* Estados Unidos contra Alcoa, 377 US 271, 280-81 (1964).</w:t>
      </w:r>
    </w:p>
    <w:p w:rsidR="00000000" w:rsidDel="00000000" w:rsidP="00000000" w:rsidRDefault="00000000" w:rsidRPr="00000000" w14:paraId="000001C4">
      <w:pPr>
        <w:spacing w:line="360" w:lineRule="auto"/>
        <w:jc w:val="both"/>
        <w:rPr>
          <w:color w:val="222222"/>
          <w:highlight w:val="white"/>
        </w:rPr>
      </w:pPr>
      <w:r w:rsidDel="00000000" w:rsidR="00000000" w:rsidRPr="00000000">
        <w:rPr>
          <w:color w:val="222222"/>
          <w:highlight w:val="white"/>
          <w:rtl w:val="0"/>
        </w:rPr>
        <w:t xml:space="preserve">33* Estados Unidos contra Marine Bancorp., 418 US 602, 630 (1974). Un mercado concentrado es aquel con un HHI superior a 1.000 (Ver Directriz 1).</w:t>
      </w:r>
    </w:p>
    <w:p w:rsidR="00000000" w:rsidDel="00000000" w:rsidP="00000000" w:rsidRDefault="00000000" w:rsidRPr="00000000" w14:paraId="000001C5">
      <w:pPr>
        <w:spacing w:line="360" w:lineRule="auto"/>
        <w:jc w:val="both"/>
        <w:rPr>
          <w:color w:val="222222"/>
          <w:highlight w:val="white"/>
        </w:rPr>
      </w:pPr>
      <w:r w:rsidDel="00000000" w:rsidR="00000000" w:rsidRPr="00000000">
        <w:rPr>
          <w:color w:val="222222"/>
          <w:highlight w:val="white"/>
          <w:rtl w:val="0"/>
        </w:rPr>
        <w:t xml:space="preserve">34* United States v. Falstaff Brewing Corp., 410 US 526, 559 n.13 (1973) (Marshall, J., concurrente) (“[S]uramente una premisa de un estatuto antifusiones como el § 7 es que el crecimiento corporativo por expansión interna es socialmente preferible al crecimiento por adquisición.” (citando a Phila. Nat'l Bank, 374 US en 370)).</w:t>
      </w:r>
    </w:p>
    <w:p w:rsidR="00000000" w:rsidDel="00000000" w:rsidP="00000000" w:rsidRDefault="00000000" w:rsidRPr="00000000" w14:paraId="000001C6">
      <w:pPr>
        <w:spacing w:line="360" w:lineRule="auto"/>
        <w:jc w:val="both"/>
        <w:rPr>
          <w:color w:val="222222"/>
          <w:highlight w:val="white"/>
        </w:rPr>
      </w:pPr>
      <w:r w:rsidDel="00000000" w:rsidR="00000000" w:rsidRPr="00000000">
        <w:rPr>
          <w:color w:val="222222"/>
          <w:highlight w:val="white"/>
          <w:rtl w:val="0"/>
        </w:rPr>
        <w:t xml:space="preserve">35* Véase, por ejemplo, Estados Unidos contra Falstaff Brewing Corp., 410 US 526, 560-61 (1973) (Marshall, J., concurrente).</w:t>
      </w:r>
    </w:p>
    <w:p w:rsidR="00000000" w:rsidDel="00000000" w:rsidP="00000000" w:rsidRDefault="00000000" w:rsidRPr="00000000" w14:paraId="000001C7">
      <w:pPr>
        <w:spacing w:line="360" w:lineRule="auto"/>
        <w:jc w:val="both"/>
        <w:rPr>
          <w:color w:val="222222"/>
          <w:highlight w:val="white"/>
        </w:rPr>
      </w:pPr>
      <w:r w:rsidDel="00000000" w:rsidR="00000000" w:rsidRPr="00000000">
        <w:rPr>
          <w:color w:val="222222"/>
          <w:highlight w:val="white"/>
          <w:rtl w:val="0"/>
        </w:rPr>
        <w:t xml:space="preserve">36* El daño por la eliminación de un entrante potencial puede ocurrir en mercados que aún no consisten en productos comerciales, incluso si la concentración del mercado futuro no puede medirse utilizando medios tradicionales. Cuando hay pocos entrantes potenciales equivalentes, incluidas una o ambas empresas fusionadas, eso indica que el mercado futuro, una vez comercializado, estará concentrado. Las Agencias considerarán las capacidades e incentivos de otros entrantes potenciales en comparación con el entrante potencial que se fusiona para evaluar la equivalencia.</w:t>
      </w:r>
    </w:p>
    <w:p w:rsidR="00000000" w:rsidDel="00000000" w:rsidP="00000000" w:rsidRDefault="00000000" w:rsidRPr="00000000" w14:paraId="000001C8">
      <w:pPr>
        <w:spacing w:line="360" w:lineRule="auto"/>
        <w:jc w:val="both"/>
        <w:rPr>
          <w:color w:val="222222"/>
          <w:highlight w:val="white"/>
        </w:rPr>
      </w:pPr>
      <w:r w:rsidDel="00000000" w:rsidR="00000000" w:rsidRPr="00000000">
        <w:rPr>
          <w:color w:val="222222"/>
          <w:highlight w:val="white"/>
          <w:rtl w:val="0"/>
        </w:rPr>
        <w:t xml:space="preserve">37* Estados Unidos contra Marine Bancorp., 418 US 602, 633 (1974).</w:t>
      </w:r>
    </w:p>
    <w:p w:rsidR="00000000" w:rsidDel="00000000" w:rsidP="00000000" w:rsidRDefault="00000000" w:rsidRPr="00000000" w14:paraId="000001C9">
      <w:pPr>
        <w:spacing w:line="360" w:lineRule="auto"/>
        <w:jc w:val="both"/>
        <w:rPr>
          <w:color w:val="222222"/>
          <w:highlight w:val="white"/>
        </w:rPr>
      </w:pPr>
      <w:r w:rsidDel="00000000" w:rsidR="00000000" w:rsidRPr="00000000">
        <w:rPr>
          <w:color w:val="222222"/>
          <w:highlight w:val="white"/>
          <w:rtl w:val="0"/>
        </w:rPr>
        <w:t xml:space="preserve">38* En cuanto a todos estos tipos de pruebas, véase Marine Bancorp., 418 US en 636-37; Yamaha Motor Co. contra FTC, 657 F.2d 971, 978 (8.º Cir. 1981).</w:t>
      </w:r>
    </w:p>
    <w:p w:rsidR="00000000" w:rsidDel="00000000" w:rsidP="00000000" w:rsidRDefault="00000000" w:rsidRPr="00000000" w14:paraId="000001CA">
      <w:pPr>
        <w:spacing w:line="360" w:lineRule="auto"/>
        <w:jc w:val="both"/>
        <w:rPr>
          <w:color w:val="222222"/>
          <w:highlight w:val="white"/>
        </w:rPr>
      </w:pPr>
      <w:r w:rsidDel="00000000" w:rsidR="00000000" w:rsidRPr="00000000">
        <w:rPr>
          <w:color w:val="222222"/>
          <w:highlight w:val="white"/>
          <w:rtl w:val="0"/>
        </w:rPr>
        <w:t xml:space="preserve">39* Yamaha Motor Co., 657 F.2d a 978</w:t>
      </w:r>
    </w:p>
    <w:p w:rsidR="00000000" w:rsidDel="00000000" w:rsidP="00000000" w:rsidRDefault="00000000" w:rsidRPr="00000000" w14:paraId="000001CB">
      <w:pPr>
        <w:spacing w:line="360" w:lineRule="auto"/>
        <w:jc w:val="both"/>
        <w:rPr>
          <w:color w:val="222222"/>
          <w:highlight w:val="white"/>
        </w:rPr>
      </w:pPr>
      <w:r w:rsidDel="00000000" w:rsidR="00000000" w:rsidRPr="00000000">
        <w:rPr>
          <w:color w:val="222222"/>
          <w:highlight w:val="white"/>
          <w:rtl w:val="0"/>
        </w:rPr>
        <w:t xml:space="preserve">40* Brown Shoe Co., 370 US en 345 n.72 (“Es más probable que la expansión interna... proporcione mayor inversión... más empleos y mayor producción”).</w:t>
      </w:r>
    </w:p>
    <w:p w:rsidR="00000000" w:rsidDel="00000000" w:rsidP="00000000" w:rsidRDefault="00000000" w:rsidRPr="00000000" w14:paraId="000001CC">
      <w:pPr>
        <w:spacing w:line="360" w:lineRule="auto"/>
        <w:jc w:val="both"/>
        <w:rPr>
          <w:color w:val="222222"/>
          <w:highlight w:val="white"/>
        </w:rPr>
      </w:pPr>
      <w:r w:rsidDel="00000000" w:rsidR="00000000" w:rsidRPr="00000000">
        <w:rPr>
          <w:color w:val="222222"/>
          <w:highlight w:val="white"/>
          <w:rtl w:val="0"/>
        </w:rPr>
        <w:t xml:space="preserve">41* Por ejemplo, cuando las leyes bancarias estatales prohíben la entrada alternativa de novo y dictan que la entrada alternativa a través de la adquisición de una propiedad “se congelaría al nivel de su adquisición inicial”, las Agencias no presumirían que dicha entrada alternativa generaría una desconcentración como un importante factor procompetitivo. efecto. Marine Bancorp., Inc., 418 Estados Unidos 602, 633-39 (1974).</w:t>
      </w:r>
    </w:p>
    <w:p w:rsidR="00000000" w:rsidDel="00000000" w:rsidP="00000000" w:rsidRDefault="00000000" w:rsidRPr="00000000" w14:paraId="000001CD">
      <w:pPr>
        <w:spacing w:line="360" w:lineRule="auto"/>
        <w:jc w:val="both"/>
        <w:rPr>
          <w:color w:val="222222"/>
          <w:highlight w:val="white"/>
        </w:rPr>
      </w:pPr>
      <w:r w:rsidDel="00000000" w:rsidR="00000000" w:rsidRPr="00000000">
        <w:rPr>
          <w:color w:val="222222"/>
          <w:highlight w:val="white"/>
          <w:rtl w:val="0"/>
        </w:rPr>
        <w:t xml:space="preserve">42* Esta eliminación de la presión competitiva actual se conoce a veces como un “efecto de borde” anticompetitivo o una pérdida de la “competencia potencial percibida”. Por ejemplo, Marine Bancorp., 418 US en 639.</w:t>
      </w:r>
    </w:p>
    <w:p w:rsidR="00000000" w:rsidDel="00000000" w:rsidP="00000000" w:rsidRDefault="00000000" w:rsidRPr="00000000" w14:paraId="000001CE">
      <w:pPr>
        <w:spacing w:line="360" w:lineRule="auto"/>
        <w:jc w:val="both"/>
        <w:rPr>
          <w:color w:val="222222"/>
          <w:highlight w:val="white"/>
        </w:rPr>
      </w:pPr>
      <w:r w:rsidDel="00000000" w:rsidR="00000000" w:rsidRPr="00000000">
        <w:rPr>
          <w:color w:val="222222"/>
          <w:highlight w:val="white"/>
          <w:rtl w:val="0"/>
        </w:rPr>
        <w:t xml:space="preserve">43* United States v. Falstaff Brewing Corp., 410 US 526, 533-36 (1973) (identificando “cuestión específica” como “si, dadas las capacidades y condiciones financieras [del adquirente] en el mercado, sería razonable considerar es un entrante potencial en ese mercado”).</w:t>
      </w:r>
    </w:p>
    <w:p w:rsidR="00000000" w:rsidDel="00000000" w:rsidP="00000000" w:rsidRDefault="00000000" w:rsidRPr="00000000" w14:paraId="000001CF">
      <w:pPr>
        <w:spacing w:line="360" w:lineRule="auto"/>
        <w:jc w:val="both"/>
        <w:rPr>
          <w:color w:val="222222"/>
          <w:highlight w:val="white"/>
        </w:rPr>
      </w:pPr>
      <w:r w:rsidDel="00000000" w:rsidR="00000000" w:rsidRPr="00000000">
        <w:rPr>
          <w:color w:val="222222"/>
          <w:highlight w:val="white"/>
          <w:rtl w:val="0"/>
        </w:rPr>
        <w:t xml:space="preserve">44* Falstaff Brewing Corp., 410 EE. UU. en 534.</w:t>
      </w:r>
    </w:p>
    <w:p w:rsidR="00000000" w:rsidDel="00000000" w:rsidP="00000000" w:rsidRDefault="00000000" w:rsidRPr="00000000" w14:paraId="000001D0">
      <w:pPr>
        <w:spacing w:line="360" w:lineRule="auto"/>
        <w:jc w:val="both"/>
        <w:rPr>
          <w:color w:val="222222"/>
          <w:highlight w:val="white"/>
        </w:rPr>
      </w:pPr>
      <w:r w:rsidDel="00000000" w:rsidR="00000000" w:rsidRPr="00000000">
        <w:rPr>
          <w:color w:val="222222"/>
          <w:highlight w:val="white"/>
          <w:rtl w:val="0"/>
        </w:rPr>
        <w:t xml:space="preserve">45* FTC v. Procter &amp; Gamble, 386 US 568, 581 (1967) (basándose en evidencia objetiva de que “las barreras a la entrada... no eran significativas” para el adquirente, que el número de entrantes potenciales “no era tan grande como para la eliminación de uno sería insignificante” y que “la empresa adquirente era el entrante más probable”, además de evidencia directa de los efectos de ventaja actuales sobre el comportamiento de los competidores existentes).</w:t>
      </w:r>
    </w:p>
    <w:p w:rsidR="00000000" w:rsidDel="00000000" w:rsidP="00000000" w:rsidRDefault="00000000" w:rsidRPr="00000000" w14:paraId="000001D1">
      <w:pPr>
        <w:spacing w:line="360" w:lineRule="auto"/>
        <w:jc w:val="both"/>
        <w:rPr>
          <w:color w:val="222222"/>
          <w:highlight w:val="white"/>
        </w:rPr>
      </w:pPr>
      <w:r w:rsidDel="00000000" w:rsidR="00000000" w:rsidRPr="00000000">
        <w:rPr>
          <w:color w:val="222222"/>
          <w:highlight w:val="white"/>
          <w:rtl w:val="0"/>
        </w:rPr>
        <w:t xml:space="preserve">46* Por ejemplo, un participante del mercado puede haber expresado su preocupación de que ciertas acciones competitivas perjudicarían su capacidad para competir contra el posible entrante.</w:t>
      </w:r>
    </w:p>
    <w:p w:rsidR="00000000" w:rsidDel="00000000" w:rsidP="00000000" w:rsidRDefault="00000000" w:rsidRPr="00000000" w14:paraId="000001D2">
      <w:pPr>
        <w:spacing w:line="360" w:lineRule="auto"/>
        <w:jc w:val="both"/>
        <w:rPr>
          <w:color w:val="222222"/>
          <w:highlight w:val="white"/>
        </w:rPr>
      </w:pPr>
      <w:r w:rsidDel="00000000" w:rsidR="00000000" w:rsidRPr="00000000">
        <w:rPr>
          <w:color w:val="222222"/>
          <w:highlight w:val="white"/>
          <w:rtl w:val="0"/>
        </w:rPr>
        <w:t xml:space="preserve">47* La investigación de la Directriz 6 sobre las estructuras de mercado verticales es distinta de este análisis de capacidades e incentivos.</w:t>
      </w:r>
    </w:p>
    <w:p w:rsidR="00000000" w:rsidDel="00000000" w:rsidP="00000000" w:rsidRDefault="00000000" w:rsidRPr="00000000" w14:paraId="000001D3">
      <w:pPr>
        <w:spacing w:line="360" w:lineRule="auto"/>
        <w:jc w:val="both"/>
        <w:rPr>
          <w:color w:val="222222"/>
          <w:highlight w:val="white"/>
        </w:rPr>
      </w:pPr>
      <w:r w:rsidDel="00000000" w:rsidR="00000000" w:rsidRPr="00000000">
        <w:rPr>
          <w:color w:val="222222"/>
          <w:highlight w:val="white"/>
          <w:rtl w:val="0"/>
        </w:rPr>
        <w:t xml:space="preserve">48* Véase FTC contra HJ Heinz Co., 246 F.3d 708, 721 (DC Cir. 2001)</w:t>
      </w:r>
    </w:p>
    <w:p w:rsidR="00000000" w:rsidDel="00000000" w:rsidP="00000000" w:rsidRDefault="00000000" w:rsidRPr="00000000" w14:paraId="000001D4">
      <w:pPr>
        <w:spacing w:line="360" w:lineRule="auto"/>
        <w:jc w:val="both"/>
        <w:rPr>
          <w:color w:val="222222"/>
          <w:highlight w:val="white"/>
        </w:rPr>
      </w:pPr>
      <w:r w:rsidDel="00000000" w:rsidR="00000000" w:rsidRPr="00000000">
        <w:rPr>
          <w:color w:val="222222"/>
          <w:highlight w:val="white"/>
          <w:rtl w:val="0"/>
        </w:rPr>
        <w:t xml:space="preserve">49* Copperweld Corp. contra Indep. Tube Corp., 467 US 752, 770-72 (1984); Estados Unidos contra AT&amp;T, Inc., 916 F.3d 1029, 1043 (DC Cir. 2019).</w:t>
      </w:r>
    </w:p>
    <w:p w:rsidR="00000000" w:rsidDel="00000000" w:rsidP="00000000" w:rsidRDefault="00000000" w:rsidRPr="00000000" w14:paraId="000001D5">
      <w:pPr>
        <w:spacing w:line="360" w:lineRule="auto"/>
        <w:jc w:val="both"/>
        <w:rPr>
          <w:color w:val="222222"/>
          <w:highlight w:val="white"/>
        </w:rPr>
      </w:pPr>
      <w:r w:rsidDel="00000000" w:rsidR="00000000" w:rsidRPr="00000000">
        <w:rPr>
          <w:color w:val="222222"/>
          <w:highlight w:val="white"/>
          <w:rtl w:val="0"/>
        </w:rPr>
        <w:t xml:space="preserve">50* Estados Unidos contra EI du Pont de Nemours &amp; Co., 353 US 586, 607 (1957); véase también Miss. River Corp. v. FTC, 454 F.2d 1083, 1089 (8th Cir. 1972) (“Las intenciones honestas, los propósitos comerciales y los beneficios económicos no son una defensa contra las violaciones de una ley antifusiones”).</w:t>
      </w:r>
    </w:p>
    <w:p w:rsidR="00000000" w:rsidDel="00000000" w:rsidP="00000000" w:rsidRDefault="00000000" w:rsidRPr="00000000" w14:paraId="000001D6">
      <w:pPr>
        <w:spacing w:line="360" w:lineRule="auto"/>
        <w:jc w:val="both"/>
        <w:rPr>
          <w:color w:val="222222"/>
          <w:highlight w:val="white"/>
        </w:rPr>
      </w:pPr>
      <w:r w:rsidDel="00000000" w:rsidR="00000000" w:rsidRPr="00000000">
        <w:rPr>
          <w:color w:val="222222"/>
          <w:highlight w:val="white"/>
          <w:rtl w:val="0"/>
        </w:rPr>
        <w:t xml:space="preserve">51* Brown Shoe, 380 US en 323-24 (limpiado). Véase Fruehauf Corp. contra FTC, 603 F.2d 345, 352 (2d Cir. 1979); US Steel Corp. contra FTC, 426 F.2d 592, 599 (6th Cir. 1970); Estados Unidos contra Am. Cyanamid Co., 719 F.2d 558, 567 (2d Cir. 1983).</w:t>
      </w:r>
    </w:p>
    <w:p w:rsidR="00000000" w:rsidDel="00000000" w:rsidP="00000000" w:rsidRDefault="00000000" w:rsidRPr="00000000" w14:paraId="000001D7">
      <w:pPr>
        <w:spacing w:line="360" w:lineRule="auto"/>
        <w:jc w:val="both"/>
        <w:rPr>
          <w:color w:val="222222"/>
          <w:highlight w:val="white"/>
        </w:rPr>
      </w:pPr>
      <w:r w:rsidDel="00000000" w:rsidR="00000000" w:rsidRPr="00000000">
        <w:rPr>
          <w:color w:val="222222"/>
          <w:highlight w:val="white"/>
          <w:rtl w:val="0"/>
        </w:rPr>
        <w:t xml:space="preserve">52* Además de este análisis estructural, muchas fusiones verticales también pueden analizarse bajo el análisis de capacidad e incentivos de la Directriz 5. Cualquiera de los dos puede ser una base suficiente para justificar preocupación.</w:t>
      </w:r>
    </w:p>
    <w:p w:rsidR="00000000" w:rsidDel="00000000" w:rsidP="00000000" w:rsidRDefault="00000000" w:rsidRPr="00000000" w14:paraId="000001D8">
      <w:pPr>
        <w:spacing w:line="360" w:lineRule="auto"/>
        <w:jc w:val="both"/>
        <w:rPr>
          <w:color w:val="222222"/>
          <w:highlight w:val="white"/>
        </w:rPr>
      </w:pPr>
      <w:r w:rsidDel="00000000" w:rsidR="00000000" w:rsidRPr="00000000">
        <w:rPr>
          <w:color w:val="222222"/>
          <w:highlight w:val="white"/>
          <w:rtl w:val="0"/>
        </w:rPr>
        <w:t xml:space="preserve">53* Brown Shoe, 370 US en 328 (“Si la participación del mercado embargado es tan grande que se aproxima a proporciones de monopolio, la Ley Clayton, por supuesto, habrá sido violada...”); Fruehauf Corp., 603 F.2d 345, 352, n.9 (2d Cir. 1979) (“[N]inguna regla per se ha sido adoptada, excepto cuando la participación del mercado embargado alcanza proporciones de monopolio”, y la aproximadamente el 50% de la participación en ejecuciones hipotecarias en Estados Unidos contra EI du Pont de Nemours &amp; Co., 353 US 586 (1957) “no dejó dudas de que el vínculo vertical confería poder de mercado”).</w:t>
      </w:r>
    </w:p>
    <w:p w:rsidR="00000000" w:rsidDel="00000000" w:rsidP="00000000" w:rsidRDefault="00000000" w:rsidRPr="00000000" w14:paraId="000001D9">
      <w:pPr>
        <w:spacing w:line="360" w:lineRule="auto"/>
        <w:jc w:val="both"/>
        <w:rPr>
          <w:color w:val="222222"/>
          <w:highlight w:val="white"/>
        </w:rPr>
      </w:pPr>
      <w:r w:rsidDel="00000000" w:rsidR="00000000" w:rsidRPr="00000000">
        <w:rPr>
          <w:color w:val="222222"/>
          <w:highlight w:val="white"/>
          <w:rtl w:val="0"/>
        </w:rPr>
        <w:t xml:space="preserve">54* United States Steel Corp. contra FTC, 426 F.2d 592 (6th Cir. 1970).</w:t>
      </w:r>
    </w:p>
    <w:p w:rsidR="00000000" w:rsidDel="00000000" w:rsidP="00000000" w:rsidRDefault="00000000" w:rsidRPr="00000000" w14:paraId="000001DA">
      <w:pPr>
        <w:spacing w:line="360" w:lineRule="auto"/>
        <w:jc w:val="both"/>
        <w:rPr>
          <w:color w:val="222222"/>
          <w:highlight w:val="white"/>
        </w:rPr>
      </w:pPr>
      <w:r w:rsidDel="00000000" w:rsidR="00000000" w:rsidRPr="00000000">
        <w:rPr>
          <w:color w:val="222222"/>
          <w:highlight w:val="white"/>
          <w:rtl w:val="0"/>
        </w:rPr>
        <w:t xml:space="preserve">55* Véase Ford Motor Co., 405 US en 571.</w:t>
      </w:r>
    </w:p>
    <w:p w:rsidR="00000000" w:rsidDel="00000000" w:rsidP="00000000" w:rsidRDefault="00000000" w:rsidRPr="00000000" w14:paraId="000001DB">
      <w:pPr>
        <w:spacing w:line="360" w:lineRule="auto"/>
        <w:jc w:val="both"/>
        <w:rPr>
          <w:color w:val="222222"/>
          <w:highlight w:val="white"/>
        </w:rPr>
      </w:pPr>
      <w:r w:rsidDel="00000000" w:rsidR="00000000" w:rsidRPr="00000000">
        <w:rPr>
          <w:color w:val="222222"/>
          <w:highlight w:val="white"/>
          <w:rtl w:val="0"/>
        </w:rPr>
        <w:t xml:space="preserve">56* Marquette CementManufacturing, Co., 75 FTC 32, 44 (1969) (“El aumento de los costos de capital y los mayores riesgos de que la entrada en ambos niveles implicaría barreras de entrada sustancialmente mayores en este mercado...”).</w:t>
      </w:r>
    </w:p>
    <w:p w:rsidR="00000000" w:rsidDel="00000000" w:rsidP="00000000" w:rsidRDefault="00000000" w:rsidRPr="00000000" w14:paraId="000001DC">
      <w:pPr>
        <w:spacing w:line="360" w:lineRule="auto"/>
        <w:jc w:val="both"/>
        <w:rPr>
          <w:color w:val="222222"/>
          <w:highlight w:val="white"/>
        </w:rPr>
      </w:pPr>
      <w:r w:rsidDel="00000000" w:rsidR="00000000" w:rsidRPr="00000000">
        <w:rPr>
          <w:color w:val="222222"/>
          <w:highlight w:val="white"/>
          <w:rtl w:val="0"/>
        </w:rPr>
        <w:t xml:space="preserve">57* Filadelfia. Nat'l Bank, 374 US en 365 n.42 (1963) (“[S]i la concentración ya es grande, la importancia de... preservar la posibilidad de una eventual desconcentración es correspondientemente grande”).</w:t>
      </w:r>
    </w:p>
    <w:p w:rsidR="00000000" w:rsidDel="00000000" w:rsidP="00000000" w:rsidRDefault="00000000" w:rsidRPr="00000000" w14:paraId="000001DD">
      <w:pPr>
        <w:spacing w:line="360" w:lineRule="auto"/>
        <w:jc w:val="both"/>
        <w:rPr>
          <w:color w:val="222222"/>
          <w:highlight w:val="white"/>
        </w:rPr>
      </w:pPr>
      <w:r w:rsidDel="00000000" w:rsidR="00000000" w:rsidRPr="00000000">
        <w:rPr>
          <w:color w:val="222222"/>
          <w:highlight w:val="white"/>
          <w:rtl w:val="0"/>
        </w:rPr>
        <w:t xml:space="preserve">58* FTC contra Procter &amp; Gamble Co., 386 US 568, 577-578 (1967); véase, por ejemplo, Allis-ChalmersMfg. Co. contra White Consol. Indas., Inc., 414 F.2d 506, 518 (3d Cir. 1969) (“El potencial afianzamiento de... poder de mercado... puede ser anticompetitivo y violatorio del § 7.”); Fruehauf Corp. v. FTC, 603 F.2d 345, 353 (2d Cir. 1979) (el “afianzamiento de un gran proveedor o comprador” puede ser una demostración “esencial” de una violación de la Sección 7); United States v. FCC, 652 F.2d 72, 102 (DC Cir. 1980) (bajo la “teoría del atrincheramiento”, una fusión puede violar la Sección 7 cuando permitiría a la empresa “dominar el mercado relevante y expulsar a empresas reales o potenciales”). competidores"); Stanley Works v. FTC, 469 F.2d 498, 505 (2d Cir. 1972) (afirmando una orden que bloquea una fusión bajo la Sección 7 que “consolidaría” una “posición ya dominante”).</w:t>
      </w:r>
    </w:p>
    <w:p w:rsidR="00000000" w:rsidDel="00000000" w:rsidP="00000000" w:rsidRDefault="00000000" w:rsidRPr="00000000" w14:paraId="000001DE">
      <w:pPr>
        <w:spacing w:line="360" w:lineRule="auto"/>
        <w:jc w:val="both"/>
        <w:rPr>
          <w:color w:val="222222"/>
          <w:highlight w:val="white"/>
        </w:rPr>
      </w:pPr>
      <w:r w:rsidDel="00000000" w:rsidR="00000000" w:rsidRPr="00000000">
        <w:rPr>
          <w:color w:val="222222"/>
          <w:highlight w:val="white"/>
          <w:rtl w:val="0"/>
        </w:rPr>
        <w:t xml:space="preserve">59* Ford Motor Co. v. United States, 405 US 562, 571 (1972) (condena la adquisición por parte de una empresa dominante para afianzarse en otro mercado cuando va acompañada de incentivos para crear y mantener barreras de entrada a ese mercado).</w:t>
      </w:r>
    </w:p>
    <w:p w:rsidR="00000000" w:rsidDel="00000000" w:rsidP="00000000" w:rsidRDefault="00000000" w:rsidRPr="00000000" w14:paraId="000001DF">
      <w:pPr>
        <w:spacing w:line="360" w:lineRule="auto"/>
        <w:jc w:val="both"/>
        <w:rPr>
          <w:color w:val="222222"/>
          <w:highlight w:val="white"/>
        </w:rPr>
      </w:pPr>
      <w:r w:rsidDel="00000000" w:rsidR="00000000" w:rsidRPr="00000000">
        <w:rPr>
          <w:color w:val="222222"/>
          <w:highlight w:val="white"/>
          <w:rtl w:val="0"/>
        </w:rPr>
        <w:t xml:space="preserve">60* Una fusión que consolide o amplíe la posición dominante de una empresa también puede violar la Sección 1 o la Sección 2 de la Ley Sherman. Véase, por ejemplo, Estados Unidos contra Grinnell Corp., 384 US 563 (1966) (las adquisiciones son uno de los tipos de conducta que pueden violar la Ley Sherman). Las diversas disposiciones de las leyes Sherman, Clayton y FTC tienen cada una normas independientes, y una puede violarse cuando las otras no.</w:t>
      </w:r>
    </w:p>
    <w:p w:rsidR="00000000" w:rsidDel="00000000" w:rsidP="00000000" w:rsidRDefault="00000000" w:rsidRPr="00000000" w14:paraId="000001E0">
      <w:pPr>
        <w:spacing w:line="360" w:lineRule="auto"/>
        <w:jc w:val="both"/>
        <w:rPr>
          <w:color w:val="222222"/>
          <w:highlight w:val="white"/>
        </w:rPr>
      </w:pPr>
      <w:r w:rsidDel="00000000" w:rsidR="00000000" w:rsidRPr="00000000">
        <w:rPr>
          <w:color w:val="222222"/>
          <w:highlight w:val="white"/>
          <w:rtl w:val="0"/>
        </w:rPr>
        <w:t xml:space="preserve">61* Véase Emhart Corp. contra USM Corp, 527 F.2d 177, 182 (1st Cir. 1975).</w:t>
      </w:r>
    </w:p>
    <w:p w:rsidR="00000000" w:rsidDel="00000000" w:rsidP="00000000" w:rsidRDefault="00000000" w:rsidRPr="00000000" w14:paraId="000001E1">
      <w:pPr>
        <w:spacing w:line="360" w:lineRule="auto"/>
        <w:jc w:val="both"/>
        <w:rPr>
          <w:color w:val="222222"/>
          <w:highlight w:val="white"/>
        </w:rPr>
      </w:pPr>
      <w:r w:rsidDel="00000000" w:rsidR="00000000" w:rsidRPr="00000000">
        <w:rPr>
          <w:color w:val="222222"/>
          <w:highlight w:val="white"/>
          <w:rtl w:val="0"/>
        </w:rPr>
        <w:t xml:space="preserve">62* Los casos utilizan varios términos para describir una empresa que ya tiene una posición poderosa en un mercado. Véase, por ejemplo, FTC contra Procter &amp; Gamble Co., 386 US 568, 575 (1967) (“posición dominante”); identificación. en 571 (“fabricante líder”); United States v. Aluminium Co. of Am., 377 US 271, 278 (1964) (“productor líder”); Allis-ChalmersMfg. Co. contra White Consol. Indus., Inc., 414 F.2d 506, 524 (3d Cir. 1969) (“empresa líder”); Fruehauf Corp. v. FTC, 603 F.2d 345, 353 (2d Cir. 1979) (“gran proveedor”); Estados Unidos contra FCC, 652 F.2d 72, 103 (DC Cir. 1980) (“empresas dominantes”); identificación. (“empresa líder...”); Stanley Works v. FTC, 469 F.2d 498, 505 (2d Cir. 1972) (“posición dominante”); Mo. Portland Cement Co. contra Cargill, Inc., 498 F.2d 851, 866 (2d Cir. 1974) (“empresa dominante”). Sin embargo, la preocupación por afianzar o ampliar una posición poderosa no depende del término preciso y surge si la empresa tiene poder de mercado o poder de monopolio. Por lo tanto, estas Directrices utilizan el término “posición dominante” para referirse a la posición de aquellas empresas para las cuales la ley antimonopolio se preocupa por extender o afianzar su poder a través de una fusión.</w:t>
      </w:r>
    </w:p>
    <w:p w:rsidR="00000000" w:rsidDel="00000000" w:rsidP="00000000" w:rsidRDefault="00000000" w:rsidRPr="00000000" w14:paraId="000001E2">
      <w:pPr>
        <w:spacing w:line="360" w:lineRule="auto"/>
        <w:jc w:val="both"/>
        <w:rPr>
          <w:color w:val="222222"/>
          <w:highlight w:val="white"/>
        </w:rPr>
      </w:pPr>
      <w:r w:rsidDel="00000000" w:rsidR="00000000" w:rsidRPr="00000000">
        <w:rPr>
          <w:color w:val="222222"/>
          <w:highlight w:val="white"/>
          <w:rtl w:val="0"/>
        </w:rPr>
        <w:t xml:space="preserve">63* FTC v. Procter &amp; Gamble Co., 386 US 568, 578 (1967) (una fusión “puede reducir sustancialmente la estructura competitiva de la industria al levantar barreras de entrada y disuadir a las empresas más pequeñas de competir agresivamente”).</w:t>
      </w:r>
    </w:p>
    <w:p w:rsidR="00000000" w:rsidDel="00000000" w:rsidP="00000000" w:rsidRDefault="00000000" w:rsidRPr="00000000" w14:paraId="000001E3">
      <w:pPr>
        <w:spacing w:line="360" w:lineRule="auto"/>
        <w:jc w:val="both"/>
        <w:rPr>
          <w:color w:val="222222"/>
          <w:highlight w:val="white"/>
        </w:rPr>
      </w:pPr>
      <w:r w:rsidDel="00000000" w:rsidR="00000000" w:rsidRPr="00000000">
        <w:rPr>
          <w:color w:val="222222"/>
          <w:highlight w:val="white"/>
          <w:rtl w:val="0"/>
        </w:rPr>
        <w:t xml:space="preserve">64* Estados Unidos contra Microsoft Corp., 253 F.3d 34, 79 (DC Cir. 2001) (en banc) (per curiam) (“Sería contrario al propósito de la Ley Sherman permitir que los monopolistas rienda suelta para aplastar a voluntad a los competidores incipientes, aunque no probados[.]”)</w:t>
      </w:r>
    </w:p>
    <w:p w:rsidR="00000000" w:rsidDel="00000000" w:rsidP="00000000" w:rsidRDefault="00000000" w:rsidRPr="00000000" w14:paraId="000001E4">
      <w:pPr>
        <w:spacing w:line="360" w:lineRule="auto"/>
        <w:jc w:val="both"/>
        <w:rPr>
          <w:color w:val="222222"/>
          <w:highlight w:val="white"/>
        </w:rPr>
      </w:pPr>
      <w:r w:rsidDel="00000000" w:rsidR="00000000" w:rsidRPr="00000000">
        <w:rPr>
          <w:color w:val="222222"/>
          <w:highlight w:val="white"/>
          <w:rtl w:val="0"/>
        </w:rPr>
        <w:t xml:space="preserve">65* Ver ídem. en 79.</w:t>
      </w:r>
    </w:p>
    <w:p w:rsidR="00000000" w:rsidDel="00000000" w:rsidP="00000000" w:rsidRDefault="00000000" w:rsidRPr="00000000" w14:paraId="000001E5">
      <w:pPr>
        <w:spacing w:line="360" w:lineRule="auto"/>
        <w:jc w:val="both"/>
        <w:rPr>
          <w:color w:val="222222"/>
          <w:highlight w:val="white"/>
        </w:rPr>
      </w:pPr>
      <w:r w:rsidDel="00000000" w:rsidR="00000000" w:rsidRPr="00000000">
        <w:rPr>
          <w:color w:val="222222"/>
          <w:highlight w:val="white"/>
          <w:rtl w:val="0"/>
        </w:rPr>
        <w:t xml:space="preserve">66* Ford Motor Co. v. United States, 405 US 562, 571 (1972) (que condena una adquisición por parte de una empresa dominante con el incentivo de crear y mantener barreras de entrada al mercado objetivo).</w:t>
      </w:r>
    </w:p>
    <w:p w:rsidR="00000000" w:rsidDel="00000000" w:rsidP="00000000" w:rsidRDefault="00000000" w:rsidRPr="00000000" w14:paraId="000001E6">
      <w:pPr>
        <w:spacing w:line="360" w:lineRule="auto"/>
        <w:jc w:val="both"/>
        <w:rPr>
          <w:color w:val="222222"/>
          <w:highlight w:val="white"/>
        </w:rPr>
      </w:pPr>
      <w:r w:rsidDel="00000000" w:rsidR="00000000" w:rsidRPr="00000000">
        <w:rPr>
          <w:color w:val="222222"/>
          <w:highlight w:val="white"/>
          <w:rtl w:val="0"/>
        </w:rPr>
        <w:t xml:space="preserve">67* Estados Unidos contra Marine Bancorp., 417 US 602, 622 (1974) (citando a Brown Shoe, 370 US en 317).</w:t>
      </w:r>
    </w:p>
    <w:p w:rsidR="00000000" w:rsidDel="00000000" w:rsidP="00000000" w:rsidRDefault="00000000" w:rsidRPr="00000000" w14:paraId="000001E7">
      <w:pPr>
        <w:spacing w:line="360" w:lineRule="auto"/>
        <w:jc w:val="both"/>
        <w:rPr>
          <w:color w:val="222222"/>
          <w:highlight w:val="white"/>
        </w:rPr>
      </w:pPr>
      <w:r w:rsidDel="00000000" w:rsidR="00000000" w:rsidRPr="00000000">
        <w:rPr>
          <w:color w:val="222222"/>
          <w:highlight w:val="white"/>
          <w:rtl w:val="0"/>
        </w:rPr>
        <w:t xml:space="preserve">68* Gen. Dynamics, 415 EE.UU. en 497-98 nn. 7-8 (1974) (citando Estados Unidos v. Continental Can Co., 378 US 441, 458 (1974); Estados Unidos v. Pabst Brewing Co., 384 US 546, 550-552 (1966) y explicando que la evidencia de tendencia hacia la concentración “habría sido suficiente para sustentar una conclusión de concentración indebida en ausencia de otras consideraciones”).</w:t>
      </w:r>
    </w:p>
    <w:p w:rsidR="00000000" w:rsidDel="00000000" w:rsidP="00000000" w:rsidRDefault="00000000" w:rsidRPr="00000000" w14:paraId="000001E8">
      <w:pPr>
        <w:spacing w:line="360" w:lineRule="auto"/>
        <w:jc w:val="both"/>
        <w:rPr>
          <w:color w:val="222222"/>
          <w:highlight w:val="white"/>
        </w:rPr>
      </w:pPr>
      <w:r w:rsidDel="00000000" w:rsidR="00000000" w:rsidRPr="00000000">
        <w:rPr>
          <w:color w:val="222222"/>
          <w:highlight w:val="white"/>
          <w:rtl w:val="0"/>
        </w:rPr>
        <w:t xml:space="preserve">69* Zapato marrón, 370 EE. UU. en 332.</w:t>
      </w:r>
    </w:p>
    <w:p w:rsidR="00000000" w:rsidDel="00000000" w:rsidP="00000000" w:rsidRDefault="00000000" w:rsidRPr="00000000" w14:paraId="000001E9">
      <w:pPr>
        <w:spacing w:line="360" w:lineRule="auto"/>
        <w:jc w:val="both"/>
        <w:rPr>
          <w:color w:val="222222"/>
          <w:highlight w:val="white"/>
        </w:rPr>
      </w:pPr>
      <w:r w:rsidDel="00000000" w:rsidR="00000000" w:rsidRPr="00000000">
        <w:rPr>
          <w:color w:val="222222"/>
          <w:highlight w:val="white"/>
          <w:rtl w:val="0"/>
        </w:rPr>
        <w:t xml:space="preserve">70* Véase Estados Unidos contra Pabst Brewing Co., 384 US 546, 550-552 (1966).</w:t>
      </w:r>
    </w:p>
    <w:p w:rsidR="00000000" w:rsidDel="00000000" w:rsidP="00000000" w:rsidRDefault="00000000" w:rsidRPr="00000000" w14:paraId="000001EA">
      <w:pPr>
        <w:spacing w:line="360" w:lineRule="auto"/>
        <w:jc w:val="both"/>
        <w:rPr>
          <w:color w:val="222222"/>
          <w:highlight w:val="white"/>
        </w:rPr>
      </w:pPr>
      <w:r w:rsidDel="00000000" w:rsidR="00000000" w:rsidRPr="00000000">
        <w:rPr>
          <w:color w:val="222222"/>
          <w:highlight w:val="white"/>
          <w:rtl w:val="0"/>
        </w:rPr>
        <w:t xml:space="preserve">71* Tales estrategias también pueden violar la Sección 2 de la Ley Sherman y la Sección 5 de la Ley FTC. Alimentado. Trade Comm'n, Declaración de política sobre el alcance de los métodos de competencia desleales según la sección 5 de la Ley de la Comisión Federal de Comercio en 12-14 nn.73, 82 (10 de noviembre de 2022) (señalando que “una serie de adquisiciones que tienden a para provocar el daño que las leyes antimonopolio fueron diseñadas para prevenir ”.</w:t>
      </w:r>
    </w:p>
    <w:p w:rsidR="00000000" w:rsidDel="00000000" w:rsidP="00000000" w:rsidRDefault="00000000" w:rsidRPr="00000000" w14:paraId="000001EB">
      <w:pPr>
        <w:spacing w:line="360" w:lineRule="auto"/>
        <w:jc w:val="both"/>
        <w:rPr>
          <w:color w:val="222222"/>
          <w:highlight w:val="white"/>
        </w:rPr>
      </w:pPr>
      <w:r w:rsidDel="00000000" w:rsidR="00000000" w:rsidRPr="00000000">
        <w:rPr>
          <w:color w:val="222222"/>
          <w:highlight w:val="white"/>
          <w:rtl w:val="0"/>
        </w:rPr>
        <w:t xml:space="preserve">72* Representante de Recursos Humanos No. 1191, 81.º Congreso, 2.ª sesión. 12-13 (1950).</w:t>
      </w:r>
    </w:p>
    <w:p w:rsidR="00000000" w:rsidDel="00000000" w:rsidP="00000000" w:rsidRDefault="00000000" w:rsidRPr="00000000" w14:paraId="000001EC">
      <w:pPr>
        <w:spacing w:line="360" w:lineRule="auto"/>
        <w:jc w:val="both"/>
        <w:rPr>
          <w:color w:val="222222"/>
          <w:highlight w:val="white"/>
        </w:rPr>
      </w:pPr>
      <w:r w:rsidDel="00000000" w:rsidR="00000000" w:rsidRPr="00000000">
        <w:rPr>
          <w:color w:val="222222"/>
          <w:highlight w:val="white"/>
          <w:rtl w:val="0"/>
        </w:rPr>
        <w:t xml:space="preserve">73* Véase Brown Shoe, 370 US en 334 (1962) (citando S.Rep. No. 1775, 81st Cong., 2d Sess. 5, US Code Cong. and Adm. News 1950, p. 4297.61; HRRep. No. 1191, 81º Congreso, 1ª Sesión 8)</w:t>
      </w:r>
    </w:p>
    <w:p w:rsidR="00000000" w:rsidDel="00000000" w:rsidP="00000000" w:rsidRDefault="00000000" w:rsidRPr="00000000" w14:paraId="000001ED">
      <w:pPr>
        <w:spacing w:line="360" w:lineRule="auto"/>
        <w:jc w:val="both"/>
        <w:rPr>
          <w:color w:val="222222"/>
          <w:highlight w:val="white"/>
        </w:rPr>
      </w:pPr>
      <w:r w:rsidDel="00000000" w:rsidR="00000000" w:rsidRPr="00000000">
        <w:rPr>
          <w:color w:val="222222"/>
          <w:highlight w:val="white"/>
          <w:rtl w:val="0"/>
        </w:rPr>
        <w:t xml:space="preserve">74* Por ejemplo, en las plataformas de sistemas operativos de la década de 1990 para software de computadoras personales (PC), los desarrolladores de software estaban de un lado, los fabricantes de PC de otro y los compradores de software de otro.</w:t>
      </w:r>
    </w:p>
    <w:p w:rsidR="00000000" w:rsidDel="00000000" w:rsidP="00000000" w:rsidRDefault="00000000" w:rsidRPr="00000000" w14:paraId="000001EE">
      <w:pPr>
        <w:spacing w:line="360" w:lineRule="auto"/>
        <w:jc w:val="both"/>
        <w:rPr>
          <w:color w:val="222222"/>
          <w:highlight w:val="white"/>
        </w:rPr>
      </w:pPr>
      <w:r w:rsidDel="00000000" w:rsidR="00000000" w:rsidRPr="00000000">
        <w:rPr>
          <w:color w:val="222222"/>
          <w:highlight w:val="white"/>
          <w:rtl w:val="0"/>
        </w:rPr>
        <w:t xml:space="preserve">75* Por ejemplo, los fabricantes de PC, los desarrolladores de software y los consumidores de la década de 1990 contribuyeron mutuamente al valor de la plataforma del sistema operativo.</w:t>
      </w:r>
    </w:p>
    <w:p w:rsidR="00000000" w:rsidDel="00000000" w:rsidP="00000000" w:rsidRDefault="00000000" w:rsidRPr="00000000" w14:paraId="000001EF">
      <w:pPr>
        <w:spacing w:line="360" w:lineRule="auto"/>
        <w:jc w:val="both"/>
        <w:rPr>
          <w:color w:val="222222"/>
          <w:highlight w:val="white"/>
        </w:rPr>
      </w:pPr>
      <w:r w:rsidDel="00000000" w:rsidR="00000000" w:rsidRPr="00000000">
        <w:rPr>
          <w:color w:val="222222"/>
          <w:highlight w:val="white"/>
          <w:rtl w:val="0"/>
        </w:rPr>
        <w:t xml:space="preserve">76* En el escenario limitado de un “tipo especial de plataforma bilateral conocida como plataforma de 'transacción'”, según la Ley Sherman, Ohio v. Am. Expreso, 138 S. Ct. 2274, 2280 (2018), puede estar garantizado un mercado relevante que abarque ambos lados de una plataforma de dos lados. Identificación. Las plataformas de transacciones simultáneas tienen la "característica clave... de que no pueden realizar una venta a un lado de la plataforma sin realizar simultáneamente una venta al otro". Identificación. Porque “no pueden vender servicios de transacciones a [ninguno de los grupos de usuarios] individualmente... Es mejor entender que las plataformas de transacciones suministran un solo producto: las transacciones”. Identificación. en 2286. Esta característica no está presente en muchos tipos de plataformas de dos o múltiples lados; Además, muchas plataformas ofrecen transacciones simultáneas, así como otros productos y servicios, y además pueden combinar estos productos con acceso para realizar transacciones en la plataforma u ofrecer descuentos por cantidad. Incluso para plataformas de transacciones simultáneas, evidencia no relacionada con los precios, como un cambio en la estructura del mercado (ver Directriz 1) o una pérdida de competencia entre las empresas que se fusionan (ver Directriz 2) aún puede indicar que una fusión puede disminuir sustancialmente la competencia en una línea de comercio para los propósitos de la Ley Clayton.</w:t>
      </w:r>
    </w:p>
    <w:p w:rsidR="00000000" w:rsidDel="00000000" w:rsidP="00000000" w:rsidRDefault="00000000" w:rsidRPr="00000000" w14:paraId="000001F0">
      <w:pPr>
        <w:spacing w:line="360" w:lineRule="auto"/>
        <w:jc w:val="both"/>
        <w:rPr>
          <w:color w:val="222222"/>
          <w:highlight w:val="white"/>
        </w:rPr>
      </w:pPr>
      <w:r w:rsidDel="00000000" w:rsidR="00000000" w:rsidRPr="00000000">
        <w:rPr>
          <w:color w:val="222222"/>
          <w:highlight w:val="white"/>
          <w:rtl w:val="0"/>
        </w:rPr>
        <w:t xml:space="preserve">77* Véase, por ejemplo, Mandeville IslandFarms, Inc. v. Am. Crystal Sugar Co., 334 US 219, 235-36 (1948) (en el contexto de la Ley Sherman señalando que “[e]l estatuto no limita su protección a los consumidores, ni a los compradores, ni a los competidores, ni a los vendedores... La Ley es integral en sus términos y cobertura, protegiendo a todos los que sean víctimas de las prácticas prohibidas, sea quien sea quien las cometa”).</w:t>
      </w:r>
    </w:p>
    <w:p w:rsidR="00000000" w:rsidDel="00000000" w:rsidP="00000000" w:rsidRDefault="00000000" w:rsidRPr="00000000" w14:paraId="000001F1">
      <w:pPr>
        <w:spacing w:line="360" w:lineRule="auto"/>
        <w:jc w:val="both"/>
        <w:rPr>
          <w:color w:val="222222"/>
          <w:highlight w:val="white"/>
        </w:rPr>
      </w:pPr>
      <w:r w:rsidDel="00000000" w:rsidR="00000000" w:rsidRPr="00000000">
        <w:rPr>
          <w:color w:val="222222"/>
          <w:highlight w:val="white"/>
          <w:rtl w:val="0"/>
        </w:rPr>
        <w:t xml:space="preserve">78* Véase, por ejemplo, NCAA v. Alston, 141 S. Ct. 2141 (2021) (que aplica la Ley Sherman para proteger a los trabajadores de un acuerdo del lado del empleador para limitar la compensación).</w:t>
      </w:r>
    </w:p>
    <w:p w:rsidR="00000000" w:rsidDel="00000000" w:rsidP="00000000" w:rsidRDefault="00000000" w:rsidRPr="00000000" w14:paraId="000001F2">
      <w:pPr>
        <w:spacing w:line="360" w:lineRule="auto"/>
        <w:jc w:val="both"/>
        <w:rPr>
          <w:color w:val="222222"/>
          <w:highlight w:val="white"/>
        </w:rPr>
      </w:pPr>
      <w:r w:rsidDel="00000000" w:rsidR="00000000" w:rsidRPr="00000000">
        <w:rPr>
          <w:color w:val="222222"/>
          <w:highlight w:val="white"/>
          <w:rtl w:val="0"/>
        </w:rPr>
        <w:t xml:space="preserve">79* Brown Shoe, 370 US en 325 (“Debido a que el artículo 7 de la Ley Clayton prohíbe cualquier fusión que pueda reducir sustancialmente la competencia 'en cualquier línea de comercio' (énfasis añadido), es necesario examinar los efectos de una fusión en cada dicho submercado económicamente significativo para determinar si existe una probabilidad razonable de que la fusión reduzca sustancialmente la competencia. Si se determina que existe tal probabilidad, la fusión queda prohibida”).</w:t>
      </w:r>
    </w:p>
    <w:p w:rsidR="00000000" w:rsidDel="00000000" w:rsidP="00000000" w:rsidRDefault="00000000" w:rsidRPr="00000000" w14:paraId="000001F3">
      <w:pPr>
        <w:spacing w:line="360" w:lineRule="auto"/>
        <w:jc w:val="both"/>
        <w:rPr>
          <w:color w:val="222222"/>
          <w:highlight w:val="white"/>
        </w:rPr>
      </w:pPr>
      <w:r w:rsidDel="00000000" w:rsidR="00000000" w:rsidRPr="00000000">
        <w:rPr>
          <w:color w:val="222222"/>
          <w:highlight w:val="white"/>
          <w:rtl w:val="0"/>
        </w:rPr>
        <w:t xml:space="preserve">80* Véase Estados Unidos contra EI du Pont de Nemours &amp; Co., 353 US 586, 592 (1957) (“[C]ualquier adquisición por una corporación de todo o parte de las acciones de otra corporación, competidora o no, está dentro del alcance de [la Sección 7 de la Ley Clayton] siempre que parezca razonablemente probable que la adquisición resulte en una restricción del comercio o en la creación de un monopolio de cualquier línea de comercio”).</w:t>
      </w:r>
    </w:p>
    <w:p w:rsidR="00000000" w:rsidDel="00000000" w:rsidP="00000000" w:rsidRDefault="00000000" w:rsidRPr="00000000" w14:paraId="000001F4">
      <w:pPr>
        <w:spacing w:line="360" w:lineRule="auto"/>
        <w:jc w:val="both"/>
        <w:rPr>
          <w:color w:val="222222"/>
          <w:highlight w:val="white"/>
        </w:rPr>
      </w:pPr>
      <w:r w:rsidDel="00000000" w:rsidR="00000000" w:rsidRPr="00000000">
        <w:rPr>
          <w:color w:val="222222"/>
          <w:highlight w:val="white"/>
          <w:rtl w:val="0"/>
        </w:rPr>
        <w:t xml:space="preserve">81* Véase Estados Unidos contra Dairy Farmers of Am., Inc., 426 F.3d 850, 860-61 (6th Cir. 2005).</w:t>
      </w:r>
    </w:p>
    <w:p w:rsidR="00000000" w:rsidDel="00000000" w:rsidP="00000000" w:rsidRDefault="00000000" w:rsidRPr="00000000" w14:paraId="000001F5">
      <w:pPr>
        <w:spacing w:line="360" w:lineRule="auto"/>
        <w:jc w:val="both"/>
        <w:rPr>
          <w:color w:val="222222"/>
          <w:highlight w:val="white"/>
        </w:rPr>
      </w:pPr>
      <w:r w:rsidDel="00000000" w:rsidR="00000000" w:rsidRPr="00000000">
        <w:rPr>
          <w:color w:val="222222"/>
          <w:highlight w:val="white"/>
          <w:rtl w:val="0"/>
        </w:rPr>
        <w:t xml:space="preserve">82* Véase Denver &amp; Rio Grande v. United States, 387 US 485, 504 (1967) (que identifica las preocupaciones de la Sección 7 con una inversión del 20%).</w:t>
      </w:r>
    </w:p>
    <w:p w:rsidR="00000000" w:rsidDel="00000000" w:rsidP="00000000" w:rsidRDefault="00000000" w:rsidRPr="00000000" w14:paraId="000001F6">
      <w:pPr>
        <w:spacing w:line="360" w:lineRule="auto"/>
        <w:jc w:val="both"/>
        <w:rPr>
          <w:color w:val="222222"/>
          <w:highlight w:val="white"/>
        </w:rPr>
      </w:pPr>
      <w:r w:rsidDel="00000000" w:rsidR="00000000" w:rsidRPr="00000000">
        <w:rPr>
          <w:color w:val="222222"/>
          <w:highlight w:val="white"/>
          <w:rtl w:val="0"/>
        </w:rPr>
        <w:t xml:space="preserve">83* 15 USC § 18.</w:t>
      </w:r>
    </w:p>
    <w:p w:rsidR="00000000" w:rsidDel="00000000" w:rsidP="00000000" w:rsidRDefault="00000000" w:rsidRPr="00000000" w14:paraId="000001F7">
      <w:pPr>
        <w:spacing w:line="360" w:lineRule="auto"/>
        <w:jc w:val="both"/>
        <w:rPr>
          <w:color w:val="222222"/>
          <w:highlight w:val="white"/>
        </w:rPr>
      </w:pPr>
      <w:r w:rsidDel="00000000" w:rsidR="00000000" w:rsidRPr="00000000">
        <w:rPr>
          <w:color w:val="222222"/>
          <w:highlight w:val="white"/>
          <w:rtl w:val="0"/>
        </w:rPr>
        <w:t xml:space="preserve">84* Zapato marrón, 370 US en 324.</w:t>
      </w:r>
    </w:p>
    <w:p w:rsidR="00000000" w:rsidDel="00000000" w:rsidP="00000000" w:rsidRDefault="00000000" w:rsidRPr="00000000" w14:paraId="000001F8">
      <w:pPr>
        <w:spacing w:line="360" w:lineRule="auto"/>
        <w:jc w:val="both"/>
        <w:rPr>
          <w:color w:val="222222"/>
          <w:highlight w:val="white"/>
        </w:rPr>
      </w:pPr>
      <w:r w:rsidDel="00000000" w:rsidR="00000000" w:rsidRPr="00000000">
        <w:rPr>
          <w:color w:val="222222"/>
          <w:highlight w:val="white"/>
          <w:rtl w:val="0"/>
        </w:rPr>
        <w:t xml:space="preserve">85* Zapato marrón, 370 US a 325.</w:t>
      </w:r>
    </w:p>
    <w:p w:rsidR="00000000" w:rsidDel="00000000" w:rsidP="00000000" w:rsidRDefault="00000000" w:rsidRPr="00000000" w14:paraId="000001F9">
      <w:pPr>
        <w:spacing w:line="360" w:lineRule="auto"/>
        <w:jc w:val="both"/>
        <w:rPr>
          <w:color w:val="222222"/>
          <w:highlight w:val="white"/>
        </w:rPr>
      </w:pPr>
      <w:r w:rsidDel="00000000" w:rsidR="00000000" w:rsidRPr="00000000">
        <w:rPr>
          <w:color w:val="222222"/>
          <w:highlight w:val="white"/>
          <w:rtl w:val="0"/>
        </w:rPr>
        <w:t xml:space="preserve">86* Ídem. (“[D]entro de [un] mercado amplio, pueden existir submercados bien definidos que, en sí mismos, constituyen mercados de productos a efectos antimonopolio”). Múltiples mercados superpuestos pueden ser mercados relevantes definidos apropiadamente. Por ejemplo, una fusión para crear un monopolio de alimentos en todo el mundo reduciría la competencia en mercados relevantes bien definidos para, entre otros, alimentos, productos horneados, galletas, galletas bajas en grasa y galletas con chispas de chocolate premium bajas en grasa. La ilegalidad de cualquiera de ellas en cualquier ciudad o localidad que comprenda un mercado geográfico relevante sería suficiente para prohibir la fusión.</w:t>
      </w:r>
    </w:p>
    <w:p w:rsidR="00000000" w:rsidDel="00000000" w:rsidP="00000000" w:rsidRDefault="00000000" w:rsidRPr="00000000" w14:paraId="000001FA">
      <w:pPr>
        <w:spacing w:line="360" w:lineRule="auto"/>
        <w:jc w:val="both"/>
        <w:rPr>
          <w:color w:val="222222"/>
          <w:highlight w:val="white"/>
        </w:rPr>
      </w:pPr>
      <w:r w:rsidDel="00000000" w:rsidR="00000000" w:rsidRPr="00000000">
        <w:rPr>
          <w:color w:val="222222"/>
          <w:highlight w:val="white"/>
          <w:rtl w:val="0"/>
        </w:rPr>
        <w:t xml:space="preserve">87* Estados Unidos contra Cont'l Can Co., 378 US 441, 449 (1964).</w:t>
      </w:r>
    </w:p>
    <w:p w:rsidR="00000000" w:rsidDel="00000000" w:rsidP="00000000" w:rsidRDefault="00000000" w:rsidRPr="00000000" w14:paraId="000001FB">
      <w:pPr>
        <w:spacing w:line="360" w:lineRule="auto"/>
        <w:jc w:val="both"/>
        <w:rPr>
          <w:color w:val="222222"/>
          <w:highlight w:val="white"/>
        </w:rPr>
      </w:pPr>
      <w:r w:rsidDel="00000000" w:rsidR="00000000" w:rsidRPr="00000000">
        <w:rPr>
          <w:color w:val="222222"/>
          <w:highlight w:val="white"/>
          <w:rtl w:val="0"/>
        </w:rPr>
        <w:t xml:space="preserve">88* Estados Unidos contra Gen. Dynamics Corp. 415 US 486, 521 (1974).</w:t>
      </w:r>
    </w:p>
    <w:p w:rsidR="00000000" w:rsidDel="00000000" w:rsidP="00000000" w:rsidRDefault="00000000" w:rsidRPr="00000000" w14:paraId="000001FC">
      <w:pPr>
        <w:spacing w:line="360" w:lineRule="auto"/>
        <w:jc w:val="both"/>
        <w:rPr>
          <w:color w:val="222222"/>
          <w:highlight w:val="white"/>
        </w:rPr>
      </w:pPr>
      <w:r w:rsidDel="00000000" w:rsidR="00000000" w:rsidRPr="00000000">
        <w:rPr>
          <w:color w:val="222222"/>
          <w:highlight w:val="white"/>
          <w:rtl w:val="0"/>
        </w:rPr>
        <w:t xml:space="preserve">89* Filadelfia. Banco Nacional, 374 EE.UU. en 360 n.37.</w:t>
      </w:r>
    </w:p>
    <w:p w:rsidR="00000000" w:rsidDel="00000000" w:rsidP="00000000" w:rsidRDefault="00000000" w:rsidRPr="00000000" w14:paraId="000001FD">
      <w:pPr>
        <w:spacing w:line="360" w:lineRule="auto"/>
        <w:jc w:val="both"/>
        <w:rPr>
          <w:color w:val="222222"/>
          <w:highlight w:val="white"/>
        </w:rPr>
      </w:pPr>
      <w:r w:rsidDel="00000000" w:rsidR="00000000" w:rsidRPr="00000000">
        <w:rPr>
          <w:color w:val="222222"/>
          <w:highlight w:val="white"/>
          <w:rtl w:val="0"/>
        </w:rPr>
        <w:t xml:space="preserve">90* Brown Shoe, 370 US en 325, citado en Estados Unidos contra US Sugar Corp., No. 22-2806, slip op. en 11, 13-14 (3d Cir. 13 de julio de 2023) (que afirma la aplicación por parte del tribunal de distrito de los indicios prácticos de Brown Shoe para evaluar el mercado de productos relevante que incluía, con base en los hechos únicos de la industria, aquellos distribuidores que “podían contrarrestar las restricciones monopolísticas liberando sus propios suministros”).</w:t>
      </w:r>
    </w:p>
    <w:p w:rsidR="00000000" w:rsidDel="00000000" w:rsidP="00000000" w:rsidRDefault="00000000" w:rsidRPr="00000000" w14:paraId="000001FE">
      <w:pPr>
        <w:spacing w:line="360" w:lineRule="auto"/>
        <w:jc w:val="both"/>
        <w:rPr>
          <w:color w:val="222222"/>
          <w:highlight w:val="white"/>
        </w:rPr>
      </w:pPr>
      <w:r w:rsidDel="00000000" w:rsidR="00000000" w:rsidRPr="00000000">
        <w:rPr>
          <w:color w:val="222222"/>
          <w:highlight w:val="white"/>
          <w:rtl w:val="0"/>
        </w:rPr>
        <w:t xml:space="preserve">91* FTC contra Penn State Hershey Med. Centro, 838 F.3d 327 (3d Cir.2016). Si bien estas directrices se centran en la aplicación de la prueba del monopolista hipotético al analizar fusiones, la prueba puede adaptarse para propósitos similares en casos que impliquen una supuesta monopolización u otra conducta. Véase, por ejemplo, McWane, Inc. contra FTC, 783 F.3d 814, 829-30 (11th Cir. 2015).</w:t>
      </w:r>
    </w:p>
    <w:p w:rsidR="00000000" w:rsidDel="00000000" w:rsidP="00000000" w:rsidRDefault="00000000" w:rsidRPr="00000000" w14:paraId="000001FF">
      <w:pPr>
        <w:spacing w:line="360" w:lineRule="auto"/>
        <w:jc w:val="both"/>
        <w:rPr>
          <w:color w:val="222222"/>
          <w:highlight w:val="white"/>
        </w:rPr>
      </w:pPr>
      <w:r w:rsidDel="00000000" w:rsidR="00000000" w:rsidRPr="00000000">
        <w:rPr>
          <w:color w:val="222222"/>
          <w:highlight w:val="white"/>
          <w:rtl w:val="0"/>
        </w:rPr>
        <w:t xml:space="preserve">92* Véase Estados Unidos contra AT&amp;T, Inc., 916 F.3d 1029, 1032 (DC Cir. 2019) (ya sea una presunción de concentración de mercado de “atajo” o una “demostración de hechos específicos” suficiente para establecer prima facie el caso de la Sección 7 infracción).</w:t>
      </w:r>
    </w:p>
    <w:p w:rsidR="00000000" w:rsidDel="00000000" w:rsidP="00000000" w:rsidRDefault="00000000" w:rsidRPr="00000000" w14:paraId="00000200">
      <w:pPr>
        <w:spacing w:line="360" w:lineRule="auto"/>
        <w:jc w:val="both"/>
        <w:rPr>
          <w:color w:val="222222"/>
          <w:highlight w:val="white"/>
        </w:rPr>
      </w:pPr>
      <w:r w:rsidDel="00000000" w:rsidR="00000000" w:rsidRPr="00000000">
        <w:rPr>
          <w:color w:val="222222"/>
          <w:highlight w:val="white"/>
          <w:rtl w:val="0"/>
        </w:rPr>
        <w:t xml:space="preserve">93* Véase Gen. Dynamics, 415 US 486, 498 (1974); Estados Unidos contra Baker Hughes, 908 F.2d 981, 990 (DC Cir. 1990) (donde se cita a General Dynamics y se describe que su decisión permite una refutación basada en un “hallazgo de que 'no se produjo ni estuvo amenazada por la adquisición una disminución sustancial de la competencia’. '”).</w:t>
      </w:r>
    </w:p>
    <w:p w:rsidR="00000000" w:rsidDel="00000000" w:rsidP="00000000" w:rsidRDefault="00000000" w:rsidRPr="00000000" w14:paraId="00000201">
      <w:pPr>
        <w:spacing w:line="360" w:lineRule="auto"/>
        <w:jc w:val="both"/>
        <w:rPr>
          <w:color w:val="222222"/>
          <w:highlight w:val="white"/>
        </w:rPr>
      </w:pPr>
      <w:r w:rsidDel="00000000" w:rsidR="00000000" w:rsidRPr="00000000">
        <w:rPr>
          <w:color w:val="222222"/>
          <w:highlight w:val="white"/>
          <w:rtl w:val="0"/>
        </w:rPr>
        <w:t xml:space="preserve">94* Citizen Publ'g Co. contra Estados Unidos, 394 US 131, 138 (1969).</w:t>
      </w:r>
    </w:p>
    <w:p w:rsidR="00000000" w:rsidDel="00000000" w:rsidP="00000000" w:rsidRDefault="00000000" w:rsidRPr="00000000" w14:paraId="00000202">
      <w:pPr>
        <w:spacing w:line="360" w:lineRule="auto"/>
        <w:jc w:val="both"/>
        <w:rPr>
          <w:color w:val="222222"/>
          <w:highlight w:val="white"/>
        </w:rPr>
      </w:pPr>
      <w:r w:rsidDel="00000000" w:rsidR="00000000" w:rsidRPr="00000000">
        <w:rPr>
          <w:color w:val="222222"/>
          <w:highlight w:val="white"/>
          <w:rtl w:val="0"/>
        </w:rPr>
        <w:t xml:space="preserve">95* Citizen Publ'g, 394 EE.UU. en 138.</w:t>
      </w:r>
    </w:p>
    <w:p w:rsidR="00000000" w:rsidDel="00000000" w:rsidP="00000000" w:rsidRDefault="00000000" w:rsidRPr="00000000" w14:paraId="00000203">
      <w:pPr>
        <w:spacing w:line="360" w:lineRule="auto"/>
        <w:jc w:val="both"/>
        <w:rPr>
          <w:color w:val="222222"/>
          <w:highlight w:val="white"/>
        </w:rPr>
      </w:pPr>
      <w:r w:rsidDel="00000000" w:rsidR="00000000" w:rsidRPr="00000000">
        <w:rPr>
          <w:color w:val="222222"/>
          <w:highlight w:val="white"/>
          <w:rtl w:val="0"/>
        </w:rPr>
        <w:t xml:space="preserve">96* Ídem.</w:t>
      </w:r>
    </w:p>
    <w:p w:rsidR="00000000" w:rsidDel="00000000" w:rsidP="00000000" w:rsidRDefault="00000000" w:rsidRPr="00000000" w14:paraId="00000204">
      <w:pPr>
        <w:spacing w:line="360" w:lineRule="auto"/>
        <w:jc w:val="both"/>
        <w:rPr>
          <w:color w:val="222222"/>
          <w:highlight w:val="white"/>
        </w:rPr>
      </w:pPr>
      <w:r w:rsidDel="00000000" w:rsidR="00000000" w:rsidRPr="00000000">
        <w:rPr>
          <w:color w:val="222222"/>
          <w:highlight w:val="white"/>
          <w:rtl w:val="0"/>
        </w:rPr>
        <w:t xml:space="preserve">97* Ídem. en 136-39 (1969) (citando a Int'l Shoe Co. v. FTC, 280 US 291, 302 (1930)).</w:t>
      </w:r>
    </w:p>
    <w:p w:rsidR="00000000" w:rsidDel="00000000" w:rsidP="00000000" w:rsidRDefault="00000000" w:rsidRPr="00000000" w14:paraId="00000205">
      <w:pPr>
        <w:spacing w:line="360" w:lineRule="auto"/>
        <w:jc w:val="both"/>
        <w:rPr>
          <w:color w:val="222222"/>
          <w:highlight w:val="white"/>
        </w:rPr>
      </w:pPr>
      <w:r w:rsidDel="00000000" w:rsidR="00000000" w:rsidRPr="00000000">
        <w:rPr>
          <w:color w:val="222222"/>
          <w:highlight w:val="white"/>
          <w:rtl w:val="0"/>
        </w:rPr>
        <w:t xml:space="preserve">98* Cualquier oferta para comprar los activos de la empresa en quiebra por un precio superior al valor de liquidación de esos activos se considerará una oferta alternativa razonable. Las partes deben solicitar ofertas alternativas razonables antes de afirmar que el negocio está fracasando. El valor de liquidación es el valor más alto que los activos podrían alcanzar fuera del mercado. Si se rechaza una oferta alternativa razonable, las partes no pueden alegar que el negocio está fracasando.</w:t>
      </w:r>
    </w:p>
    <w:p w:rsidR="00000000" w:rsidDel="00000000" w:rsidP="00000000" w:rsidRDefault="00000000" w:rsidRPr="00000000" w14:paraId="00000206">
      <w:pPr>
        <w:spacing w:line="360" w:lineRule="auto"/>
        <w:jc w:val="both"/>
        <w:rPr>
          <w:color w:val="222222"/>
          <w:highlight w:val="white"/>
        </w:rPr>
      </w:pPr>
      <w:r w:rsidDel="00000000" w:rsidR="00000000" w:rsidRPr="00000000">
        <w:rPr>
          <w:color w:val="222222"/>
          <w:highlight w:val="white"/>
          <w:rtl w:val="0"/>
        </w:rPr>
        <w:t xml:space="preserve">99* Citizen Publ'g Co. contra Estados Unidos, 394 US en 139.</w:t>
      </w:r>
    </w:p>
    <w:p w:rsidR="00000000" w:rsidDel="00000000" w:rsidP="00000000" w:rsidRDefault="00000000" w:rsidRPr="00000000" w14:paraId="00000207">
      <w:pPr>
        <w:spacing w:line="360" w:lineRule="auto"/>
        <w:jc w:val="both"/>
        <w:rPr>
          <w:color w:val="222222"/>
          <w:highlight w:val="white"/>
        </w:rPr>
      </w:pPr>
      <w:r w:rsidDel="00000000" w:rsidR="00000000" w:rsidRPr="00000000">
        <w:rPr>
          <w:color w:val="222222"/>
          <w:highlight w:val="white"/>
          <w:rtl w:val="0"/>
        </w:rPr>
        <w:t xml:space="preserve">100* Las Agencias normalmente no dan crédito a las afirmaciones de que los activos de una división saldrían del mercado relevante en un futuro cercano a menos que: (1) al aplicar reglas de asignación de costos que reflejen los costos económicos reales, la división tenga un flujo de efectivo persistentemente negativo en un negocio operativo. y dicho flujo de caja negativo no está económicamente justificado para la empresa por beneficios tales como ventas adicionales en mercados complementarios o una mayor buena voluntad de los clientes; y (2) el propietario de la división en quiebra ha realizado esfuerzos infructuosos de buena fe para obtener ofertas alternativas razonables que mantendrían sus activos en el mercado relevante y representaran un peligro menos grave para la competencia que la adquisición propuesta. Debido a que las empresas pueden asignar costos, ingresos y transacciones intracompañías entre sus subsidiarias y divisiones, las Agencias requieren evidencia que no se base únicamente en planes de gestión que podrían haberse preparado con el propósito de demostrar un flujo de efectivo negativo o la perspectiva de salida de el mercado relevante.</w:t>
      </w:r>
    </w:p>
    <w:p w:rsidR="00000000" w:rsidDel="00000000" w:rsidP="00000000" w:rsidRDefault="00000000" w:rsidRPr="00000000" w14:paraId="00000208">
      <w:pPr>
        <w:spacing w:line="360" w:lineRule="auto"/>
        <w:jc w:val="both"/>
        <w:rPr>
          <w:color w:val="222222"/>
          <w:highlight w:val="white"/>
        </w:rPr>
      </w:pPr>
      <w:r w:rsidDel="00000000" w:rsidR="00000000" w:rsidRPr="00000000">
        <w:rPr>
          <w:color w:val="222222"/>
          <w:highlight w:val="white"/>
          <w:rtl w:val="0"/>
        </w:rPr>
        <w:t xml:space="preserve">101* FTC contra SanfordHealth, 926 F.3d 959, 965 (8th Cir. 2019).</w:t>
      </w:r>
    </w:p>
    <w:p w:rsidR="00000000" w:rsidDel="00000000" w:rsidP="00000000" w:rsidRDefault="00000000" w:rsidRPr="00000000" w14:paraId="00000209">
      <w:pPr>
        <w:spacing w:line="360" w:lineRule="auto"/>
        <w:jc w:val="both"/>
        <w:rPr>
          <w:color w:val="222222"/>
          <w:highlight w:val="white"/>
        </w:rPr>
      </w:pPr>
      <w:r w:rsidDel="00000000" w:rsidR="00000000" w:rsidRPr="00000000">
        <w:rPr>
          <w:color w:val="222222"/>
          <w:highlight w:val="white"/>
          <w:rtl w:val="0"/>
        </w:rPr>
        <w:t xml:space="preserve">102* Filadelfia. Banco Nacional, 374 EE.UU. en 371; FTC contra Procter &amp; Gamble Co., 386 US 568, 580 (1967) (“El Congreso era consciente de que algunas fusiones que reducen la competencia también pueden generar economías, pero logró el equilibrio a favor de proteger la competencia”).</w:t>
      </w:r>
    </w:p>
    <w:p w:rsidR="00000000" w:rsidDel="00000000" w:rsidP="00000000" w:rsidRDefault="00000000" w:rsidRPr="00000000" w14:paraId="0000020A">
      <w:pPr>
        <w:spacing w:line="360" w:lineRule="auto"/>
        <w:jc w:val="both"/>
        <w:rPr>
          <w:color w:val="222222"/>
          <w:highlight w:val="white"/>
        </w:rPr>
      </w:pPr>
      <w:r w:rsidDel="00000000" w:rsidR="00000000" w:rsidRPr="00000000">
        <w:rPr>
          <w:color w:val="222222"/>
          <w:highlight w:val="white"/>
          <w:rtl w:val="0"/>
        </w:rPr>
        <w:t xml:space="preserve">103* Miss. River Corp. v. FTC, 454 F.2d 1083, 1089 (8th Cir. 1972) (“[L]os efectos anticompetitivos de una adquisición en un mercado no pueden justificarse por efectos procompetitivos en otro mercado. Intenciones honestas , fines comerciales y beneficios económicos no son una defensa contra violaciones de una ley antifusiones”).</w:t>
      </w:r>
    </w:p>
    <w:p w:rsidR="00000000" w:rsidDel="00000000" w:rsidP="00000000" w:rsidRDefault="00000000" w:rsidRPr="00000000" w14:paraId="0000020B">
      <w:pPr>
        <w:spacing w:line="360" w:lineRule="auto"/>
        <w:jc w:val="both"/>
        <w:rPr>
          <w:color w:val="222222"/>
          <w:highlight w:val="white"/>
        </w:rPr>
      </w:pPr>
      <w:r w:rsidDel="00000000" w:rsidR="00000000" w:rsidRPr="00000000">
        <w:rPr>
          <w:color w:val="222222"/>
          <w:highlight w:val="white"/>
          <w:rtl w:val="0"/>
        </w:rPr>
        <w:t xml:space="preserve">104* En general, la evidencia relacionada con las eficiencias desarrollada antes de la impugnación de la fusión es mucho más probatoria que la evidencia desarrollada durante la investigación o el litigio de las Agencias.</w:t>
      </w:r>
    </w:p>
    <w:p w:rsidR="00000000" w:rsidDel="00000000" w:rsidP="00000000" w:rsidRDefault="00000000" w:rsidRPr="00000000" w14:paraId="0000020C">
      <w:pPr>
        <w:spacing w:line="360" w:lineRule="auto"/>
        <w:jc w:val="both"/>
        <w:rPr>
          <w:color w:val="222222"/>
          <w:highlight w:val="white"/>
        </w:rPr>
      </w:pPr>
      <w:r w:rsidDel="00000000" w:rsidR="00000000" w:rsidRPr="00000000">
        <w:rPr>
          <w:color w:val="222222"/>
          <w:highlight w:val="white"/>
          <w:rtl w:val="0"/>
        </w:rPr>
        <w:t xml:space="preserve">105* Si las colaboraciones entre empresas se pueden lograr mediante contrato, no son específicas de una fusión. Las Agencias acreditarán la especificidad de las eficiencias de la fusión solo en presencia de barreras identificadas para lograrlas por contrato.</w:t>
      </w:r>
    </w:p>
    <w:p w:rsidR="00000000" w:rsidDel="00000000" w:rsidP="00000000" w:rsidRDefault="00000000" w:rsidRPr="00000000" w14:paraId="0000020D">
      <w:pPr>
        <w:spacing w:line="360" w:lineRule="auto"/>
        <w:jc w:val="both"/>
        <w:rPr>
          <w:color w:val="222222"/>
          <w:highlight w:val="white"/>
        </w:rPr>
      </w:pPr>
      <w:r w:rsidDel="00000000" w:rsidR="00000000" w:rsidRPr="00000000">
        <w:rPr>
          <w:color w:val="222222"/>
          <w:highlight w:val="white"/>
          <w:rtl w:val="0"/>
        </w:rPr>
        <w:t xml:space="preserve">106* Las Agencias no acreditarán eficiencias si reflejan o requieren una disminución de la competencia en un mercado separado. Por ejemplo, si se espera que los costos de los insumos disminuyan, los ahorros de costos no se tratarán como una eficiencia si reflejan un aumento en el poder del monopsonio.</w:t>
      </w:r>
    </w:p>
    <w:p w:rsidR="00000000" w:rsidDel="00000000" w:rsidP="00000000" w:rsidRDefault="00000000" w:rsidRPr="00000000" w14:paraId="0000020E">
      <w:pPr>
        <w:spacing w:line="360" w:lineRule="auto"/>
        <w:jc w:val="both"/>
        <w:rPr>
          <w:color w:val="222222"/>
          <w:highlight w:val="white"/>
        </w:rPr>
      </w:pPr>
      <w:r w:rsidDel="00000000" w:rsidR="00000000" w:rsidRPr="00000000">
        <w:rPr>
          <w:color w:val="222222"/>
          <w:highlight w:val="white"/>
          <w:rtl w:val="0"/>
        </w:rPr>
        <w:t xml:space="preserve">107* Véase FTC contra HJ Heinz, Co., 246 F.3d 708, 725 (DC Cir. 2001).</w:t>
      </w:r>
    </w:p>
    <w:p w:rsidR="00000000" w:rsidDel="00000000" w:rsidP="00000000" w:rsidRDefault="00000000" w:rsidRPr="00000000" w14:paraId="0000020F">
      <w:pPr>
        <w:spacing w:line="360" w:lineRule="auto"/>
        <w:jc w:val="both"/>
        <w:rPr>
          <w:color w:val="222222"/>
          <w:highlight w:val="white"/>
        </w:rPr>
      </w:pPr>
      <w:r w:rsidDel="00000000" w:rsidR="00000000" w:rsidRPr="00000000">
        <w:rPr>
          <w:color w:val="222222"/>
          <w:highlight w:val="white"/>
          <w:rtl w:val="0"/>
        </w:rPr>
        <w:t xml:space="preserve">Pies de página de Apéndice</w:t>
      </w:r>
    </w:p>
    <w:p w:rsidR="00000000" w:rsidDel="00000000" w:rsidP="00000000" w:rsidRDefault="00000000" w:rsidRPr="00000000" w14:paraId="00000210">
      <w:pPr>
        <w:spacing w:line="360" w:lineRule="auto"/>
        <w:jc w:val="both"/>
        <w:rPr>
          <w:color w:val="222222"/>
          <w:highlight w:val="white"/>
        </w:rPr>
      </w:pPr>
      <w:r w:rsidDel="00000000" w:rsidR="00000000" w:rsidRPr="00000000">
        <w:rPr>
          <w:color w:val="222222"/>
          <w:highlight w:val="white"/>
          <w:rtl w:val="0"/>
        </w:rPr>
        <w:t xml:space="preserve">1* El margen de las unidades incrementales es la diferencia entre los ingresos incrementales (a menudo iguales al precio) y el costo incremental de esas unidades. Las Agencias pueden utilizar datos contables para medir los costos incrementales, pero no necesariamente se basan en los márgenes contables registrados por las empresas en el curso normal de sus negocios porque dichos márgenes a menudo no se alinean con el concepto de costo incremental que es relevante en el análisis económico de una fusión. .</w:t>
      </w:r>
    </w:p>
    <w:p w:rsidR="00000000" w:rsidDel="00000000" w:rsidP="00000000" w:rsidRDefault="00000000" w:rsidRPr="00000000" w14:paraId="00000211">
      <w:pPr>
        <w:spacing w:line="360" w:lineRule="auto"/>
        <w:jc w:val="both"/>
        <w:rPr>
          <w:color w:val="222222"/>
          <w:highlight w:val="white"/>
        </w:rPr>
      </w:pPr>
      <w:r w:rsidDel="00000000" w:rsidR="00000000" w:rsidRPr="00000000">
        <w:rPr>
          <w:color w:val="222222"/>
          <w:highlight w:val="white"/>
          <w:rtl w:val="0"/>
        </w:rPr>
        <w:t xml:space="preserve">2* La “canibalización” de ventas se refiere a una situación en la que los clientes de una empresa sustituyen uno de los productos de la empresa por otro producto ofrecido por la misma empresa.</w:t>
      </w:r>
    </w:p>
    <w:p w:rsidR="00000000" w:rsidDel="00000000" w:rsidP="00000000" w:rsidRDefault="00000000" w:rsidRPr="00000000" w14:paraId="00000212">
      <w:pPr>
        <w:spacing w:line="360" w:lineRule="auto"/>
        <w:jc w:val="both"/>
        <w:rPr>
          <w:color w:val="222222"/>
          <w:highlight w:val="white"/>
        </w:rPr>
      </w:pPr>
      <w:r w:rsidDel="00000000" w:rsidR="00000000" w:rsidRPr="00000000">
        <w:rPr>
          <w:color w:val="222222"/>
          <w:highlight w:val="white"/>
          <w:rtl w:val="0"/>
        </w:rPr>
        <w:t xml:space="preserve">3* Si los incentivos de fijación de precios de las empresas que suministran los productos del grupo difieren sustancialmente de los del hipotético monopolista, por razones distintas al control de este último sobre un grupo mayor de sustitutos, las Agencias pueden emplear en su lugar el concepto de una hipotética ganancia. cártel maximizador compuesto por las empresas (con todos sus productos) que venden los productos en el mercado candidato. Es más probable que este enfoque sea apropiado si las empresas que se fusionan venden productos fuera del mercado candidato que afectan significativamente sus incentivos de precios para los productos en el mercado candidato. Esto podría ocurrir, por ejemplo, si el mercado candidato es el de equipos duraderos y las empresas que venden esos equipos obtienen ingresos netos sustanciales de la venta de repuestos y servicios para esos equipos. Se aplican consideraciones análogas al considerar un SSNIPT para términos distintos del precio.</w:t>
      </w:r>
    </w:p>
    <w:p w:rsidR="00000000" w:rsidDel="00000000" w:rsidP="00000000" w:rsidRDefault="00000000" w:rsidRPr="00000000" w14:paraId="00000213">
      <w:pPr>
        <w:spacing w:line="360" w:lineRule="auto"/>
        <w:jc w:val="both"/>
        <w:rPr>
          <w:color w:val="222222"/>
          <w:highlight w:val="white"/>
        </w:rPr>
      </w:pPr>
      <w:r w:rsidDel="00000000" w:rsidR="00000000" w:rsidRPr="00000000">
        <w:rPr>
          <w:color w:val="222222"/>
          <w:highlight w:val="white"/>
          <w:rtl w:val="0"/>
        </w:rPr>
        <w:t xml:space="preserve">4* En el contexto de atrincheramiento, si la investigación se lleva a cabo después de que ya se ha ejercido el poder de mercado o de monopolio, utilizar los precios prevalecientes puede llevar a definir los mercados de manera demasiado amplia y, por lo tanto, a inferir que la dominancia no existe cuando, de hecho, sí existe. El problema de utilizar los precios vigentes para definir el mercado cuando una empresa ya es dominante se conoce como la “falacia del celofán”.</w:t>
      </w:r>
    </w:p>
    <w:p w:rsidR="00000000" w:rsidDel="00000000" w:rsidP="00000000" w:rsidRDefault="00000000" w:rsidRPr="00000000" w14:paraId="00000214">
      <w:pPr>
        <w:spacing w:line="360" w:lineRule="auto"/>
        <w:jc w:val="both"/>
        <w:rPr>
          <w:color w:val="222222"/>
          <w:highlight w:val="white"/>
        </w:rPr>
      </w:pPr>
      <w:r w:rsidDel="00000000" w:rsidR="00000000" w:rsidRPr="00000000">
        <w:rPr>
          <w:color w:val="222222"/>
          <w:highlight w:val="white"/>
          <w:rtl w:val="0"/>
        </w:rPr>
        <w:t xml:space="preserve">5* El aumento de precio del cinco por ciento no es un umbral de daño competitivo derivado de la fusión. Debido a que el SSNIP del cinco por ciento es un efecto mínimo esperado de un monopolista hipotético de todo un mercado, el efecto real previsto de una fusión dentro de ese mercado puede ser significativamente inferior al cinco por ciento. Una fusión dentro de un mercado bien definido que provoque una concentración indebida puede ser ilegal incluso si el aumento de precios previsto está muy por debajo del SSNIP del cinco por ciento.</w:t>
      </w:r>
    </w:p>
    <w:p w:rsidR="00000000" w:rsidDel="00000000" w:rsidP="00000000" w:rsidRDefault="00000000" w:rsidRPr="00000000" w14:paraId="00000215">
      <w:pPr>
        <w:spacing w:line="360" w:lineRule="auto"/>
        <w:jc w:val="both"/>
        <w:rPr>
          <w:color w:val="222222"/>
          <w:highlight w:val="white"/>
        </w:rPr>
      </w:pPr>
      <w:r w:rsidDel="00000000" w:rsidR="00000000" w:rsidRPr="00000000">
        <w:rPr>
          <w:color w:val="222222"/>
          <w:highlight w:val="white"/>
          <w:rtl w:val="0"/>
        </w:rPr>
        <w:t xml:space="preserve">6* La tasa de recaptura a veces se denomina tasa de desvío agregada, definida en el Apéndice 2.B.</w:t>
      </w:r>
    </w:p>
    <w:p w:rsidR="00000000" w:rsidDel="00000000" w:rsidP="00000000" w:rsidRDefault="00000000" w:rsidRPr="00000000" w14:paraId="00000216">
      <w:pPr>
        <w:spacing w:line="360" w:lineRule="auto"/>
        <w:jc w:val="both"/>
        <w:rPr>
          <w:color w:val="222222"/>
          <w:highlight w:val="white"/>
        </w:rPr>
      </w:pPr>
      <w:r w:rsidDel="00000000" w:rsidR="00000000" w:rsidRPr="00000000">
        <w:rPr>
          <w:color w:val="222222"/>
          <w:highlight w:val="white"/>
          <w:rtl w:val="0"/>
        </w:rPr>
        <w:t xml:space="preserve">7* En algunos casos, las empresas ofrecen una o más versiones de productos o servicios definidos por sus características (donde la marca puede ser una característica). Cuando los clientes pueden seleccionar entre estos productos y los términos no varían según el cliente, las Agencias normalmente definirán los mercados basándose en los productos en lugar de en los clientes objetivo. En tales casos, los mercados antimonopolio pertinentes pueden incluir sólo algunos de los productos diferenciados, por ejemplo, productos con características "básicas" únicamente o productos con "características premium". Las herramientas descritas en el Apéndice 2 se pueden utilizar para evaluar la competencia entre productos diferenciados.</w:t>
      </w:r>
    </w:p>
    <w:p w:rsidR="00000000" w:rsidDel="00000000" w:rsidP="00000000" w:rsidRDefault="00000000" w:rsidRPr="00000000" w14:paraId="00000217">
      <w:pPr>
        <w:spacing w:line="360" w:lineRule="auto"/>
        <w:jc w:val="both"/>
        <w:rPr>
          <w:color w:val="222222"/>
          <w:highlight w:val="white"/>
        </w:rPr>
      </w:pPr>
      <w:r w:rsidDel="00000000" w:rsidR="00000000" w:rsidRPr="00000000">
        <w:rPr>
          <w:color w:val="222222"/>
          <w:highlight w:val="white"/>
          <w:rtl w:val="0"/>
        </w:rPr>
        <w:t xml:space="preserve">8* En algunas circunstancias, como cuando las partes que se fusionan operan en múltiples geografías, si aplican el HMT, las Agencias pueden aplicar un marco de “Cártel Hipotético” para la definición del mercado, siguiendo el enfoque descrito en el Apéndice 3A n.3.</w:t>
      </w:r>
    </w:p>
    <w:p w:rsidR="00000000" w:rsidDel="00000000" w:rsidP="00000000" w:rsidRDefault="00000000" w:rsidRPr="00000000" w14:paraId="00000218">
      <w:pPr>
        <w:spacing w:line="360" w:lineRule="auto"/>
        <w:jc w:val="both"/>
        <w:rPr>
          <w:color w:val="222222"/>
          <w:highlight w:val="white"/>
        </w:rPr>
      </w:pPr>
      <w:r w:rsidDel="00000000" w:rsidR="00000000" w:rsidRPr="00000000">
        <w:rPr>
          <w:color w:val="222222"/>
          <w:highlight w:val="white"/>
          <w:rtl w:val="0"/>
        </w:rPr>
        <w:t xml:space="preserve">9* Para los clientes que operan en múltiples ubicaciones, solo se incluyen en el mercado aquellas ubicaciones de clientes dentro de la región objetivo.</w:t>
      </w:r>
    </w:p>
    <w:p w:rsidR="00000000" w:rsidDel="00000000" w:rsidP="00000000" w:rsidRDefault="00000000" w:rsidRPr="00000000" w14:paraId="00000219">
      <w:pPr>
        <w:spacing w:line="360" w:lineRule="auto"/>
        <w:jc w:val="both"/>
        <w:rPr>
          <w:color w:val="222222"/>
          <w:highlight w:val="white"/>
        </w:rPr>
      </w:pPr>
      <w:r w:rsidDel="00000000" w:rsidR="00000000" w:rsidRPr="00000000">
        <w:rPr>
          <w:color w:val="222222"/>
          <w:highlight w:val="white"/>
          <w:rtl w:val="0"/>
        </w:rPr>
        <w:t xml:space="preserve">10* El arbitraje por parte de los proveedores es un tipo de respuesta del proveedor y, por lo tanto, no se considera en la definición del mercado; ver Apéndice 3.B.3.</w:t>
      </w:r>
    </w:p>
    <w:p w:rsidR="00000000" w:rsidDel="00000000" w:rsidP="00000000" w:rsidRDefault="00000000" w:rsidRPr="00000000" w14:paraId="0000021A">
      <w:pPr>
        <w:spacing w:line="360" w:lineRule="auto"/>
        <w:jc w:val="both"/>
        <w:rPr>
          <w:color w:val="222222"/>
          <w:highlight w:val="white"/>
        </w:rPr>
      </w:pPr>
      <w:r w:rsidDel="00000000" w:rsidR="00000000" w:rsidRPr="00000000">
        <w:rPr>
          <w:color w:val="222222"/>
          <w:highlight w:val="white"/>
          <w:rtl w:val="0"/>
        </w:rPr>
        <w:t xml:space="preserve">11* En algunas circunstancias, como cuando las partes que se fusionan operan en múltiples geografías, las Agencias pueden aplicar un marco de “Cártel Hipotético” para la definición del mercado, como se describe en la nota al pie 2 del Apéndice.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table" w:styleId="TableNormalb" w:customStyle="1">
    <w:name w:val="Table Normal"/>
    <w:tblPr>
      <w:tblCellMar>
        <w:top w:w="0.0" w:type="dxa"/>
        <w:left w:w="0.0" w:type="dxa"/>
        <w:bottom w:w="0.0" w:type="dxa"/>
        <w:right w:w="0.0" w:type="dxa"/>
      </w:tblCellMar>
    </w:tblPr>
  </w:style>
  <w:style w:type="table" w:styleId="TableNormalc" w:customStyle="1">
    <w:name w:val="Table Normal"/>
    <w:tblPr>
      <w:tblCellMar>
        <w:top w:w="0.0" w:type="dxa"/>
        <w:left w:w="0.0" w:type="dxa"/>
        <w:bottom w:w="0.0" w:type="dxa"/>
        <w:right w:w="0.0" w:type="dxa"/>
      </w:tblCellMar>
    </w:tblPr>
  </w:style>
  <w:style w:type="table" w:styleId="TableNormald" w:customStyle="1">
    <w:name w:val="Table Normal"/>
    <w:tblPr>
      <w:tblCellMar>
        <w:top w:w="0.0" w:type="dxa"/>
        <w:left w:w="0.0" w:type="dxa"/>
        <w:bottom w:w="0.0" w:type="dxa"/>
        <w:right w:w="0.0" w:type="dxa"/>
      </w:tblCellMar>
    </w:tblPr>
  </w:style>
  <w:style w:type="table" w:styleId="TableNormale" w:customStyle="1">
    <w:name w:val="Table Normal"/>
    <w:tblPr>
      <w:tblCellMar>
        <w:top w:w="0.0" w:type="dxa"/>
        <w:left w:w="0.0" w:type="dxa"/>
        <w:bottom w:w="0.0" w:type="dxa"/>
        <w:right w:w="0.0" w:type="dxa"/>
      </w:tblCellMar>
    </w:tblPr>
  </w:style>
  <w:style w:type="table" w:styleId="TableNormalf" w:customStyle="1">
    <w:name w:val="Table Normal"/>
    <w:tblPr>
      <w:tblCellMar>
        <w:top w:w="0.0" w:type="dxa"/>
        <w:left w:w="0.0" w:type="dxa"/>
        <w:bottom w:w="0.0" w:type="dxa"/>
        <w:right w:w="0.0" w:type="dxa"/>
      </w:tblCellMar>
    </w:tblPr>
  </w:style>
  <w:style w:type="table" w:styleId="TableNormalf0" w:customStyle="1">
    <w:name w:val="Table Normal"/>
    <w:tblPr>
      <w:tblCellMar>
        <w:top w:w="0.0" w:type="dxa"/>
        <w:left w:w="0.0" w:type="dxa"/>
        <w:bottom w:w="0.0" w:type="dxa"/>
        <w:right w:w="0.0" w:type="dxa"/>
      </w:tblCellMar>
    </w:tblPr>
  </w:style>
  <w:style w:type="table" w:styleId="TableNormalf1" w:customStyle="1">
    <w:name w:val="Table Normal"/>
    <w:tblPr>
      <w:tblCellMar>
        <w:top w:w="0.0" w:type="dxa"/>
        <w:left w:w="0.0" w:type="dxa"/>
        <w:bottom w:w="0.0" w:type="dxa"/>
        <w:right w:w="0.0" w:type="dxa"/>
      </w:tblCellMar>
    </w:tblPr>
  </w:style>
  <w:style w:type="table" w:styleId="TableNormalf2" w:customStyle="1">
    <w:name w:val="Table Normal"/>
    <w:tblPr>
      <w:tblCellMar>
        <w:top w:w="0.0" w:type="dxa"/>
        <w:left w:w="0.0" w:type="dxa"/>
        <w:bottom w:w="0.0" w:type="dxa"/>
        <w:right w:w="0.0" w:type="dxa"/>
      </w:tblCellMar>
    </w:tblPr>
  </w:style>
  <w:style w:type="table" w:styleId="TableNormalf3" w:customStyle="1">
    <w:name w:val="Table Normal"/>
    <w:tblPr>
      <w:tblCellMar>
        <w:top w:w="0.0" w:type="dxa"/>
        <w:left w:w="0.0" w:type="dxa"/>
        <w:bottom w:w="0.0" w:type="dxa"/>
        <w:right w:w="0.0" w:type="dxa"/>
      </w:tblCellMar>
    </w:tblPr>
  </w:style>
  <w:style w:type="paragraph" w:styleId="Encabezado">
    <w:name w:val="header"/>
    <w:basedOn w:val="Normal"/>
    <w:link w:val="EncabezadoCar"/>
    <w:uiPriority w:val="99"/>
    <w:unhideWhenUsed w:val="1"/>
    <w:rsid w:val="000B3656"/>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0B3656"/>
  </w:style>
  <w:style w:type="paragraph" w:styleId="Piedepgina">
    <w:name w:val="footer"/>
    <w:basedOn w:val="Normal"/>
    <w:link w:val="PiedepginaCar"/>
    <w:uiPriority w:val="99"/>
    <w:unhideWhenUsed w:val="1"/>
    <w:rsid w:val="000B3656"/>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0B3656"/>
  </w:style>
  <w:style w:type="paragraph" w:styleId="NormalWeb">
    <w:name w:val="Normal (Web)"/>
    <w:basedOn w:val="Normal"/>
    <w:uiPriority w:val="99"/>
    <w:semiHidden w:val="1"/>
    <w:unhideWhenUsed w:val="1"/>
    <w:rsid w:val="00443894"/>
    <w:pPr>
      <w:spacing w:after="100" w:afterAutospacing="1" w:before="100" w:beforeAutospacing="1" w:line="240" w:lineRule="auto"/>
    </w:pPr>
    <w:rPr>
      <w:rFonts w:ascii="Times New Roman" w:cs="Times New Roman" w:eastAsia="Times New Roman" w:hAnsi="Times New Roman"/>
      <w:sz w:val="24"/>
      <w:szCs w:val="24"/>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f3"/>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justice.gov/atr/2023-merger-guidelin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yrN5rCKLpU7PZt7YjrUca6mPgg==">CgMxLjAyDmguN3UwZXZ3YjdwMjlwMg1oLmJ5ZHppY3VmN2ppOAByITFkVmFfMXVLZXJqUzlqNExDVTNiZkZwdENnZTA4NFhXcQ==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2024-05-01T20:47:00Z</dcterms:created>
  <dc:creator>Elvis Montero Pedroso</dc:creator>
</cp:coreProperties>
</file>