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pPr>
      <w:bookmarkStart w:colFirst="0" w:colLast="0" w:name="_heading=h.d70hlj6kl8uj" w:id="0"/>
      <w:bookmarkEnd w:id="0"/>
      <w:r w:rsidDel="00000000" w:rsidR="00000000" w:rsidRPr="00000000">
        <w:rPr>
          <w:rtl w:val="0"/>
        </w:rPr>
        <w:t xml:space="preserve">Tribunal de defensa de la competencia y de la propiedad intelectual. (2023). Resolución N°.  0176-2023/SDC-INDECOPI del 1 de diciembre del 2023 Procedimiento administrativo sancionador contra Cencosud Retail Perú S.A., Makro Supermayorista S.A., Supermercados Peruanos S.A. e Hipermercados Tottus S.A. por la presunta realización de una práctica colusoria horizontal en la modalidad de acuerdo para la fijación de precios en el mercado de comercialización de pavo entero San Fernando a nivel nacional, durante el periodo comprendido entre los años 2009 a 2016,</w:t>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bookmarkStart w:colFirst="0" w:colLast="0" w:name="_heading=h.gjdgxs" w:id="1"/>
      <w:bookmarkEnd w:id="1"/>
      <w:r w:rsidDel="00000000" w:rsidR="00000000" w:rsidRPr="00000000">
        <w:rPr>
          <w:rtl w:val="0"/>
        </w:rPr>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Inicio página. 1</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VERSIÓN PÚBLICA </w:t>
        <w:br w:type="textWrapping"/>
        <w:t xml:space="preserve">SAN FERNANDO S.A.*1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PROCEDENCIA: CENCOSUD RETAIL PERÚ S.A.*2 </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DENUNCIANTE: SUPERMERCADOS PERUANOS S.A.*3 </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DENUNCIADAS: </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HIPERMERCADOS TOTTUS S.A.*4 </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MAKRO SUPERMAYORISTA S.A.*5 </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COMISIÓN DE DEFENSA DE LA LIBRE COMPETENCIA PROCEDIMIENTO INICIADO DE OFICIO </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MATERIAS LIBRE COMPETENCIA </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1447"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PRÁCTICAS COLUSORIAS HORIZONTALES </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2847"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RESTRICCIONES VERTICALES </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29"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ACTIVIDAD CRÍA DE OTROS ANIMALES </w:t>
      </w:r>
    </w:p>
    <w:p w:rsidR="00000000" w:rsidDel="00000000" w:rsidP="00000000" w:rsidRDefault="00000000" w:rsidRPr="00000000" w14:paraId="0000000F">
      <w:pPr>
        <w:widowControl w:val="0"/>
        <w:spacing w:after="0" w:line="360" w:lineRule="auto"/>
        <w:jc w:val="both"/>
        <w:rPr/>
      </w:pPr>
      <w:r w:rsidDel="00000000" w:rsidR="00000000" w:rsidRPr="00000000">
        <w:rPr>
          <w:rtl w:val="0"/>
        </w:rPr>
        <w:t xml:space="preserve">SUMILLA: se declara la NULIDAD PARCIAL de la Resolución 048-2020/ST-CLC INDECOPI del 9 de diciembre de 2020, emitida por la Secretaría Técnica de la Comisión de Defensa de la Libre Competencia, en los extremos que dispuso: (i) el inicio de un procedimiento administrativo sancionador contra Cencosud Retail Perú S.A., Makro Supermayorista S.A., Supermercados Peruanos S.A. e Hipermercados Tottus S.A. por la presunta realización de una práctica colusoria horizontal en la modalidad de acuerdo para la fijación de precios en el mercado de comercialización de pavo entero San Fernando a nivel nacional, durante el periodo comprendido entre los años 2009 a 2016, infracción tipificada en los artículos 1 y 11.1 literal a) del Texto Único Ordenado de la Ley de Represión de Conductas Anticompetitivas y sujeta a prohibición absoluta conforme a lo dispuesto en el artículo 11.2 literal a) de dicha ley; y, (ii) el inicio de un procedimiento administrativo sancionador contra San Fernando S.A. por su presunta participación como planificador, intermediario o facilitador, entre los años 2015 y 2016, de la presunta práctica colusoria horizontal indicada en el primer punto resolutivo de dicha resolución, infracción tipificada en el artículo 2.4 del Texto Único Ordenado de la Ley de Represión de Conductas Anticompetitivas. </w:t>
      </w:r>
    </w:p>
    <w:p w:rsidR="00000000" w:rsidDel="00000000" w:rsidP="00000000" w:rsidRDefault="00000000" w:rsidRPr="00000000" w14:paraId="00000010">
      <w:pPr>
        <w:widowControl w:val="0"/>
        <w:spacing w:after="0" w:line="360" w:lineRule="auto"/>
        <w:jc w:val="both"/>
        <w:rPr/>
      </w:pPr>
      <w:r w:rsidDel="00000000" w:rsidR="00000000" w:rsidRPr="00000000">
        <w:rPr>
          <w:rtl w:val="0"/>
        </w:rPr>
        <w:t xml:space="preserve">La razón es que los hechos que sustentaron el inicio del presente procedimiento sancionador, en los extremos previamente indicados, no corresponden a una presunta práctica colusoria horizontal inter marca entre los autoservicios para fijar el precio de venta del pavo entero San Fernando a nivel nacional durante el periodo investigado, que se encuentre sujeta a la prohibición absoluta y que habría sido facilitada por San Fernando S.A., sino que en realidad estos hechos estarían referidos a la imposición de un precio mínimo para la reventa del referido producto al consumidor final por parte de San Fernando S.A., por lo que se trataría de una restricción vertical sujeta a la regla de la razón. </w:t>
      </w:r>
    </w:p>
    <w:p w:rsidR="00000000" w:rsidDel="00000000" w:rsidP="00000000" w:rsidRDefault="00000000" w:rsidRPr="00000000" w14:paraId="00000011">
      <w:pPr>
        <w:widowControl w:val="0"/>
        <w:spacing w:after="0" w:line="360" w:lineRule="auto"/>
        <w:jc w:val="both"/>
        <w:rPr/>
      </w:pPr>
      <w:r w:rsidDel="00000000" w:rsidR="00000000" w:rsidRPr="00000000">
        <w:rPr>
          <w:rtl w:val="0"/>
        </w:rPr>
        <w:t xml:space="preserve">En tal sentido, dado que los hechos materia de imputación por la Secretaría Técnica de la Comisión de Defensa de la Libre Competencia no podían calificar como una presunta concertación entre agentes competidores para fijar el precio de venta del pavo entero San Fernando, es decir, una práctica colusoria horizontal inter marca para fijar el precio de venta de un producto, tales hechos no debieron ser imputados como una presunta conducta anticompetitiva sujeta a la prohibición absoluta prevista en el artículo 11.2 literal a) de dicho cuerpo normativo. El referido defecto comprende también a la imputación efectuada a San Fernando, en tanto se atribuyó a esta el haber planificado, intermediado o facilitado la supuesta práctica colusoria horizontal sujeta a prohibición absoluta entre los autoservicios. </w:t>
      </w:r>
    </w:p>
    <w:p w:rsidR="00000000" w:rsidDel="00000000" w:rsidP="00000000" w:rsidRDefault="00000000" w:rsidRPr="00000000" w14:paraId="00000012">
      <w:pPr>
        <w:widowControl w:val="0"/>
        <w:spacing w:after="0" w:line="360" w:lineRule="auto"/>
        <w:jc w:val="both"/>
        <w:rPr/>
      </w:pPr>
      <w:r w:rsidDel="00000000" w:rsidR="00000000" w:rsidRPr="00000000">
        <w:rPr>
          <w:rtl w:val="0"/>
        </w:rPr>
        <w:t xml:space="preserve">Por tanto, la Resolución 048-2020/ST-CLC-INDECOPI del 9 de diciembre de 2020, en los extremos previamente indicados, incurre en la causal de nulidad prevista en el numeral 1 del artículo 10 del Texto Único Ordenado de la Ley 27444, Ley del Procedimiento Administrativo General, al haber contravenido el artículo 11.2 literal a) del Texto Único Ordenado de la Ley de Represión de Conductas Anticompetitivas, así como el principio de tipicidad previsto en el numeral 4 del artículo 248 del Texto Único Ordenado de la Ley 27444, Ley del Procedimiento Administrativo General. </w:t>
      </w:r>
    </w:p>
    <w:p w:rsidR="00000000" w:rsidDel="00000000" w:rsidP="00000000" w:rsidRDefault="00000000" w:rsidRPr="00000000" w14:paraId="00000013">
      <w:pPr>
        <w:widowControl w:val="0"/>
        <w:spacing w:after="0" w:line="360" w:lineRule="auto"/>
        <w:jc w:val="both"/>
        <w:rPr/>
      </w:pPr>
      <w:r w:rsidDel="00000000" w:rsidR="00000000" w:rsidRPr="00000000">
        <w:rPr>
          <w:rtl w:val="0"/>
        </w:rPr>
        <w:t xml:space="preserve">Finalmente, en aplicación del artículo 13.1 del Texto Único Ordenado de la Ley 27444, Ley del Procedimiento Administrativo General, se dejan sin efecto los extremos de la Resolución 014-2022/CLC-INDECOPI del 25 de marzo de 2022 vinculados a estas imputaciones, correspondientes a la sanción y medida correctiva impuestas a Cencosud Retail Perú S.A., Makro Supermayorista S.A., Hipermercados Tottus S.A., Supermercados Peruanos S.A. y San Fernando S.A. </w:t>
      </w:r>
    </w:p>
    <w:p w:rsidR="00000000" w:rsidDel="00000000" w:rsidP="00000000" w:rsidRDefault="00000000" w:rsidRPr="00000000" w14:paraId="00000014">
      <w:pPr>
        <w:widowControl w:val="0"/>
        <w:spacing w:after="0" w:line="360" w:lineRule="auto"/>
        <w:jc w:val="both"/>
        <w:rPr/>
      </w:pPr>
      <w:r w:rsidDel="00000000" w:rsidR="00000000" w:rsidRPr="00000000">
        <w:rPr>
          <w:rtl w:val="0"/>
        </w:rPr>
        <w:t xml:space="preserve">Lima, 1 de diciembre de 2023 </w:t>
      </w:r>
    </w:p>
    <w:p w:rsidR="00000000" w:rsidDel="00000000" w:rsidP="00000000" w:rsidRDefault="00000000" w:rsidRPr="00000000" w14:paraId="00000015">
      <w:pPr>
        <w:widowControl w:val="0"/>
        <w:spacing w:after="0" w:line="360" w:lineRule="auto"/>
        <w:jc w:val="both"/>
        <w:rPr/>
      </w:pPr>
      <w:r w:rsidDel="00000000" w:rsidR="00000000" w:rsidRPr="00000000">
        <w:rPr>
          <w:rtl w:val="0"/>
        </w:rPr>
        <w:t xml:space="preserve">I. ANTECEDENTES </w:t>
      </w:r>
    </w:p>
    <w:p w:rsidR="00000000" w:rsidDel="00000000" w:rsidP="00000000" w:rsidRDefault="00000000" w:rsidRPr="00000000" w14:paraId="00000016">
      <w:pPr>
        <w:widowControl w:val="0"/>
        <w:spacing w:after="0" w:line="360" w:lineRule="auto"/>
        <w:jc w:val="both"/>
        <w:rPr/>
      </w:pPr>
      <w:r w:rsidDel="00000000" w:rsidR="00000000" w:rsidRPr="00000000">
        <w:rPr>
          <w:rtl w:val="0"/>
        </w:rPr>
        <w:t xml:space="preserve">1. En abril de 2017, la Secretaría Técnica de la Comisión de Defensa de la Libre </w:t>
      </w:r>
    </w:p>
    <w:p w:rsidR="00000000" w:rsidDel="00000000" w:rsidP="00000000" w:rsidRDefault="00000000" w:rsidRPr="00000000" w14:paraId="00000017">
      <w:pPr>
        <w:widowControl w:val="0"/>
        <w:spacing w:after="0" w:line="360" w:lineRule="auto"/>
        <w:jc w:val="both"/>
        <w:rPr/>
      </w:pPr>
      <w:r w:rsidDel="00000000" w:rsidR="00000000" w:rsidRPr="00000000">
        <w:rPr>
          <w:rtl w:val="0"/>
        </w:rPr>
        <w:t xml:space="preserve">Competencia (en adelante Secretaría Técnica de la Comisión) realizó una serie de visitas de inspección en las oficinas de Cencosud Retail Peru S.A. (en adelante Cencosud), Supermercados Peruanos S.A. (en adelante Supesa) e Hipermercados Tottus S.A. (en adelante Tottus), con la finalidad de obtener información sobre el mercado de comercialización de determinados productos por la presunta realización de prácticas colusorias horizontales a nivel nacional7. </w:t>
      </w:r>
    </w:p>
    <w:p w:rsidR="00000000" w:rsidDel="00000000" w:rsidP="00000000" w:rsidRDefault="00000000" w:rsidRPr="00000000" w14:paraId="00000018">
      <w:pPr>
        <w:widowControl w:val="0"/>
        <w:spacing w:after="0" w:line="360" w:lineRule="auto"/>
        <w:jc w:val="both"/>
        <w:rPr/>
      </w:pPr>
      <w:r w:rsidDel="00000000" w:rsidR="00000000" w:rsidRPr="00000000">
        <w:rPr>
          <w:rtl w:val="0"/>
        </w:rPr>
        <w:t xml:space="preserve">2. Posteriormente, mediante Cartas 1164-2018/ST-CLC-INDECOPI, 1165-2018/ST CLC-INDECOPI y 1166-2018/ST-CLC-INDECOPI del 1 de agosto de 2018, la Secretaría Técnica de la Comisión realizó requerimientos de información a Cencosud, Supesa y Tottus, respectivamente, a fin de recopilar información sobre su estructura organizacional y política comercial. En dichos requerimientos también se incluyó al producto pavo (en todas sus presentaciones) dentro de las indagaciones en el marco de la investigación preliminar tramitada bajo el Expediente 001-2017/CLC-IP. </w:t>
      </w:r>
    </w:p>
    <w:p w:rsidR="00000000" w:rsidDel="00000000" w:rsidP="00000000" w:rsidRDefault="00000000" w:rsidRPr="00000000" w14:paraId="00000019">
      <w:pPr>
        <w:widowControl w:val="0"/>
        <w:spacing w:after="0" w:line="360" w:lineRule="auto"/>
        <w:jc w:val="both"/>
        <w:rPr/>
      </w:pPr>
      <w:r w:rsidDel="00000000" w:rsidR="00000000" w:rsidRPr="00000000">
        <w:rPr>
          <w:rtl w:val="0"/>
        </w:rPr>
        <w:t xml:space="preserve">3. Asimismo, entre julio de 2018 y agosto de 2019, la Secretaría Técnica de la Comisión realizó visitas de inspección en las oficinas de Makro Supermayorista S.A. (en adelante Makro), San Fernando S.A. (en adelante San Fernando) y Redondos S.A. (en adelante Redondos) , con la finalidad de obtener información sobre el mercado de comercialización de pavo entero, debido a la presunta realización de prácticas colusorias horizontales. </w:t>
      </w:r>
    </w:p>
    <w:p w:rsidR="00000000" w:rsidDel="00000000" w:rsidP="00000000" w:rsidRDefault="00000000" w:rsidRPr="00000000" w14:paraId="0000001A">
      <w:pPr>
        <w:widowControl w:val="0"/>
        <w:spacing w:after="0" w:line="360" w:lineRule="auto"/>
        <w:jc w:val="both"/>
        <w:rPr/>
      </w:pPr>
      <w:r w:rsidDel="00000000" w:rsidR="00000000" w:rsidRPr="00000000">
        <w:rPr>
          <w:rtl w:val="0"/>
        </w:rPr>
        <w:t xml:space="preserve">4. Entre setiembre y diciembre de 2019, Supesa, Cencosud, Tottus y Makro absolvieron los requerimientos de información formulados por la Secretaría Técnica de la Comisión en el marco de la investigación preliminar tramitada bajo el Expediente 001-2017/CLC-IP9. </w:t>
      </w:r>
    </w:p>
    <w:p w:rsidR="00000000" w:rsidDel="00000000" w:rsidP="00000000" w:rsidRDefault="00000000" w:rsidRPr="00000000" w14:paraId="0000001B">
      <w:pPr>
        <w:widowControl w:val="0"/>
        <w:spacing w:after="0" w:line="360" w:lineRule="auto"/>
        <w:jc w:val="both"/>
        <w:rPr/>
      </w:pPr>
      <w:r w:rsidDel="00000000" w:rsidR="00000000" w:rsidRPr="00000000">
        <w:rPr>
          <w:rtl w:val="0"/>
        </w:rPr>
        <w:t xml:space="preserve">5. El 5 de agosto de 2020, la Secretaría Técnica de la Comisión requirió a Supesa, Cencosud y Makro el listado de todas las facturas y boletas (diarias) correspondientes a las ventas del producto “Pavo Entero” para el periodo comprendido entre enero de 2009 y diciembre de 2016, los cuales fueron presentados entre agosto y setiembre de 2020. </w:t>
      </w:r>
    </w:p>
    <w:p w:rsidR="00000000" w:rsidDel="00000000" w:rsidP="00000000" w:rsidRDefault="00000000" w:rsidRPr="00000000" w14:paraId="0000001C">
      <w:pPr>
        <w:widowControl w:val="0"/>
        <w:spacing w:after="0" w:line="360" w:lineRule="auto"/>
        <w:jc w:val="both"/>
        <w:rPr/>
      </w:pPr>
      <w:r w:rsidDel="00000000" w:rsidR="00000000" w:rsidRPr="00000000">
        <w:rPr>
          <w:rtl w:val="0"/>
        </w:rPr>
        <w:t xml:space="preserve">6. Mediante Resolución 048-2020/ST-CLC-INDECOPI del 9 de diciembre de 2020 (en adelante Resolución de Inicio), la Secretaría Técnica de la Comisión resolvió, entre otros, lo siguiente: </w:t>
      </w:r>
    </w:p>
    <w:p w:rsidR="00000000" w:rsidDel="00000000" w:rsidP="00000000" w:rsidRDefault="00000000" w:rsidRPr="00000000" w14:paraId="0000001D">
      <w:pPr>
        <w:widowControl w:val="0"/>
        <w:spacing w:after="0" w:line="360" w:lineRule="auto"/>
        <w:jc w:val="both"/>
        <w:rPr/>
      </w:pPr>
      <w:r w:rsidDel="00000000" w:rsidR="00000000" w:rsidRPr="00000000">
        <w:rPr>
          <w:rtl w:val="0"/>
        </w:rPr>
        <w:t xml:space="preserve">(i) iniciar de oficio un procedimiento administrativo sancionador contra Cencosud, Makro, Supesa y Tottus (en adelante autoservicios o imputadas), por la presunta realización de una práctica colusoria horizontal en la modalidad de acuerdo para la fijación de precios, en el mercado de comercialización de pavo entero San Fernando a nivel nacional, durante el periodo comprendido entre los años 2009 a 2016, conducta tipificada en los artículos 1 y 11.1 literal a) del Decreto Supremo 030-2019-PCM que aprueba el Texto Único Ordenado de la Ley de Represión de Conductas Anticompetitivas (en adelante TUO de la LRCA) , sujeta a una prohibición absoluta, de conformidad con lo dispuesto en el artículo 11.2 literal a) de dicha norma .  </w:t>
      </w:r>
    </w:p>
    <w:p w:rsidR="00000000" w:rsidDel="00000000" w:rsidP="00000000" w:rsidRDefault="00000000" w:rsidRPr="00000000" w14:paraId="0000001E">
      <w:pPr>
        <w:widowControl w:val="0"/>
        <w:spacing w:after="0" w:line="360" w:lineRule="auto"/>
        <w:jc w:val="both"/>
        <w:rPr/>
      </w:pPr>
      <w:r w:rsidDel="00000000" w:rsidR="00000000" w:rsidRPr="00000000">
        <w:rPr>
          <w:rtl w:val="0"/>
        </w:rPr>
        <w:t xml:space="preserve">(ii) Iniciar de oficio un procedimiento administrativo sancionador contra San Fernando por su presunta participación como planificador, intermediario o facilitador de la práctica indicada en el literal anterior, entre los años 2015 y 2016. </w:t>
      </w:r>
    </w:p>
    <w:p w:rsidR="00000000" w:rsidDel="00000000" w:rsidP="00000000" w:rsidRDefault="00000000" w:rsidRPr="00000000" w14:paraId="0000001F">
      <w:pPr>
        <w:widowControl w:val="0"/>
        <w:spacing w:after="0" w:line="360" w:lineRule="auto"/>
        <w:jc w:val="both"/>
        <w:rPr/>
      </w:pPr>
      <w:r w:rsidDel="00000000" w:rsidR="00000000" w:rsidRPr="00000000">
        <w:rPr>
          <w:rtl w:val="0"/>
        </w:rPr>
        <w:t xml:space="preserve">7. Entre el 25 y 26 de enero de 2021, los imputados presentaron sus respectivos descargos a la imputación formulada a través de la Resolución de Inicio14. </w:t>
      </w:r>
    </w:p>
    <w:p w:rsidR="00000000" w:rsidDel="00000000" w:rsidP="00000000" w:rsidRDefault="00000000" w:rsidRPr="00000000" w14:paraId="00000020">
      <w:pPr>
        <w:widowControl w:val="0"/>
        <w:spacing w:after="0" w:line="360" w:lineRule="auto"/>
        <w:jc w:val="both"/>
        <w:rPr/>
      </w:pPr>
      <w:r w:rsidDel="00000000" w:rsidR="00000000" w:rsidRPr="00000000">
        <w:rPr>
          <w:rtl w:val="0"/>
        </w:rPr>
        <w:t xml:space="preserve">8. Entre mayo y agosto de 2021, la Secretaría Técnica de la Comisión realizó entrevistas a los señores Daniel Mesta Cáceres, Rodrigo Vásquez-Mejía Salas y Ricardo Solís Quiroz, ex trabajadores de Supesa15. </w:t>
      </w:r>
    </w:p>
    <w:p w:rsidR="00000000" w:rsidDel="00000000" w:rsidP="00000000" w:rsidRDefault="00000000" w:rsidRPr="00000000" w14:paraId="00000021">
      <w:pPr>
        <w:widowControl w:val="0"/>
        <w:spacing w:after="0" w:line="360" w:lineRule="auto"/>
        <w:jc w:val="both"/>
        <w:rPr/>
      </w:pPr>
      <w:r w:rsidDel="00000000" w:rsidR="00000000" w:rsidRPr="00000000">
        <w:rPr>
          <w:rtl w:val="0"/>
        </w:rPr>
        <w:t xml:space="preserve">9. A través de los escritos presentados entre el 21 de mayo y el 31 de agosto de 2021, las imputadas formularon argumentos legales y económicos contra la Resolución de Inicio16. </w:t>
      </w:r>
    </w:p>
    <w:p w:rsidR="00000000" w:rsidDel="00000000" w:rsidP="00000000" w:rsidRDefault="00000000" w:rsidRPr="00000000" w14:paraId="00000022">
      <w:pPr>
        <w:widowControl w:val="0"/>
        <w:spacing w:after="0" w:line="360" w:lineRule="auto"/>
        <w:jc w:val="both"/>
        <w:rPr/>
      </w:pPr>
      <w:r w:rsidDel="00000000" w:rsidR="00000000" w:rsidRPr="00000000">
        <w:rPr>
          <w:rtl w:val="0"/>
        </w:rPr>
        <w:t xml:space="preserve">10. El 14 de octubre de 2021, la Secretaría Técnica de la Comisión emitió el Informe Técnico 012-2021/DLC-INDECOPI (en adelante Informe Técnico), mediante el cual recomendó a la Comisión de Defensa de la Libre Competencia (en adelante Comisión)17 18: </w:t>
      </w:r>
    </w:p>
    <w:p w:rsidR="00000000" w:rsidDel="00000000" w:rsidP="00000000" w:rsidRDefault="00000000" w:rsidRPr="00000000" w14:paraId="00000023">
      <w:pPr>
        <w:widowControl w:val="0"/>
        <w:spacing w:after="0" w:line="360" w:lineRule="auto"/>
        <w:jc w:val="both"/>
        <w:rPr/>
      </w:pPr>
      <w:r w:rsidDel="00000000" w:rsidR="00000000" w:rsidRPr="00000000">
        <w:rPr>
          <w:rtl w:val="0"/>
        </w:rPr>
        <w:t xml:space="preserve">(i) Declarar que Cencosud, Makro, Supesa y Tottus incurrieron en una práctica colusoria horizontal en la modalidad de acuerdo para la fijación de precios en el mercado de comercialización de pavo entero San Fernando a nivel nacional, durante el periodo comprendido entre los años 2009 a 2016. </w:t>
      </w:r>
    </w:p>
    <w:p w:rsidR="00000000" w:rsidDel="00000000" w:rsidP="00000000" w:rsidRDefault="00000000" w:rsidRPr="00000000" w14:paraId="00000024">
      <w:pPr>
        <w:widowControl w:val="0"/>
        <w:spacing w:after="0" w:line="360" w:lineRule="auto"/>
        <w:jc w:val="both"/>
        <w:rPr/>
      </w:pPr>
      <w:r w:rsidDel="00000000" w:rsidR="00000000" w:rsidRPr="00000000">
        <w:rPr>
          <w:rtl w:val="0"/>
        </w:rPr>
        <w:t xml:space="preserve">(ii) Declarar que San Fernando participó como planificador, intermediario o facilitador entre los años 2015 y 2016 de la práctica colusoria horizontal descrita en el literal (i). </w:t>
      </w:r>
    </w:p>
    <w:p w:rsidR="00000000" w:rsidDel="00000000" w:rsidP="00000000" w:rsidRDefault="00000000" w:rsidRPr="00000000" w14:paraId="00000025">
      <w:pPr>
        <w:widowControl w:val="0"/>
        <w:spacing w:after="0" w:line="360" w:lineRule="auto"/>
        <w:jc w:val="both"/>
        <w:rPr/>
      </w:pPr>
      <w:r w:rsidDel="00000000" w:rsidR="00000000" w:rsidRPr="00000000">
        <w:rPr>
          <w:rtl w:val="0"/>
        </w:rPr>
        <w:t xml:space="preserve">(iii) Sancionar a Cencosud, Makro, Supesa, Tottus y San Fernando con las siguientes multas: </w:t>
      </w:r>
    </w:p>
    <w:p w:rsidR="00000000" w:rsidDel="00000000" w:rsidP="00000000" w:rsidRDefault="00000000" w:rsidRPr="00000000" w14:paraId="00000026">
      <w:pPr>
        <w:widowControl w:val="0"/>
        <w:spacing w:after="0" w:line="360" w:lineRule="auto"/>
        <w:jc w:val="both"/>
        <w:rPr/>
      </w:pPr>
      <w:r w:rsidDel="00000000" w:rsidR="00000000" w:rsidRPr="00000000">
        <w:rPr>
          <w:rtl w:val="0"/>
        </w:rPr>
        <w:t xml:space="preserve">a. Cencosud: 998 (novecientos noventa y ocho) UIT. </w:t>
      </w:r>
    </w:p>
    <w:p w:rsidR="00000000" w:rsidDel="00000000" w:rsidP="00000000" w:rsidRDefault="00000000" w:rsidRPr="00000000" w14:paraId="00000027">
      <w:pPr>
        <w:widowControl w:val="0"/>
        <w:spacing w:after="0" w:line="360" w:lineRule="auto"/>
        <w:jc w:val="both"/>
        <w:rPr/>
      </w:pPr>
      <w:r w:rsidDel="00000000" w:rsidR="00000000" w:rsidRPr="00000000">
        <w:rPr>
          <w:rtl w:val="0"/>
        </w:rPr>
        <w:t xml:space="preserve">b. Makro: 132.16 (ciento treinta y dos con 16/100) UIT. </w:t>
      </w:r>
    </w:p>
    <w:p w:rsidR="00000000" w:rsidDel="00000000" w:rsidP="00000000" w:rsidRDefault="00000000" w:rsidRPr="00000000" w14:paraId="00000028">
      <w:pPr>
        <w:widowControl w:val="0"/>
        <w:spacing w:after="0" w:line="360" w:lineRule="auto"/>
        <w:jc w:val="both"/>
        <w:rPr/>
      </w:pPr>
      <w:r w:rsidDel="00000000" w:rsidR="00000000" w:rsidRPr="00000000">
        <w:rPr>
          <w:rtl w:val="0"/>
        </w:rPr>
        <w:t xml:space="preserve">c. Supesa: 1000 (mil) UIT. </w:t>
      </w:r>
    </w:p>
    <w:p w:rsidR="00000000" w:rsidDel="00000000" w:rsidP="00000000" w:rsidRDefault="00000000" w:rsidRPr="00000000" w14:paraId="00000029">
      <w:pPr>
        <w:widowControl w:val="0"/>
        <w:spacing w:after="0" w:line="360" w:lineRule="auto"/>
        <w:jc w:val="both"/>
        <w:rPr/>
      </w:pPr>
      <w:r w:rsidDel="00000000" w:rsidR="00000000" w:rsidRPr="00000000">
        <w:rPr>
          <w:rtl w:val="0"/>
        </w:rPr>
        <w:t xml:space="preserve">d. Tottus: 1000 (mil) UIT. </w:t>
      </w:r>
    </w:p>
    <w:p w:rsidR="00000000" w:rsidDel="00000000" w:rsidP="00000000" w:rsidRDefault="00000000" w:rsidRPr="00000000" w14:paraId="0000002A">
      <w:pPr>
        <w:widowControl w:val="0"/>
        <w:spacing w:after="0" w:line="360" w:lineRule="auto"/>
        <w:jc w:val="both"/>
        <w:rPr/>
      </w:pPr>
      <w:r w:rsidDel="00000000" w:rsidR="00000000" w:rsidRPr="00000000">
        <w:rPr>
          <w:rtl w:val="0"/>
        </w:rPr>
        <w:t xml:space="preserve">e. San Fernando: 410.32 (cuatrocientos diez con 32/100) UIT. </w:t>
      </w:r>
    </w:p>
    <w:p w:rsidR="00000000" w:rsidDel="00000000" w:rsidP="00000000" w:rsidRDefault="00000000" w:rsidRPr="00000000" w14:paraId="0000002B">
      <w:pPr>
        <w:widowControl w:val="0"/>
        <w:spacing w:after="0" w:line="360" w:lineRule="auto"/>
        <w:jc w:val="both"/>
        <w:rPr/>
      </w:pPr>
      <w:r w:rsidDel="00000000" w:rsidR="00000000" w:rsidRPr="00000000">
        <w:rPr>
          <w:rtl w:val="0"/>
        </w:rPr>
        <w:t xml:space="preserve">(iv) Imponer como medida correctiva a Cencosud, Makro, Supesa, Tottus y San Fernando, la implementación de un programa de cumplimiento de la normativa de libre competencia, el cual deberá ser financiado por cada una de las empresas y aplicado durante tres (3) años. </w:t>
      </w:r>
    </w:p>
    <w:p w:rsidR="00000000" w:rsidDel="00000000" w:rsidP="00000000" w:rsidRDefault="00000000" w:rsidRPr="00000000" w14:paraId="0000002C">
      <w:pPr>
        <w:widowControl w:val="0"/>
        <w:spacing w:after="0" w:line="360" w:lineRule="auto"/>
        <w:jc w:val="both"/>
        <w:rPr/>
      </w:pPr>
      <w:r w:rsidDel="00000000" w:rsidR="00000000" w:rsidRPr="00000000">
        <w:rPr>
          <w:rtl w:val="0"/>
        </w:rPr>
        <w:t xml:space="preserve">11. El 2 y 6 de diciembre de 2021, Cencosud, Tottus, Supesa, Makro y San Fernando </w:t>
      </w:r>
    </w:p>
    <w:p w:rsidR="00000000" w:rsidDel="00000000" w:rsidP="00000000" w:rsidRDefault="00000000" w:rsidRPr="00000000" w14:paraId="0000002D">
      <w:pPr>
        <w:widowControl w:val="0"/>
        <w:spacing w:after="0" w:line="360" w:lineRule="auto"/>
        <w:jc w:val="both"/>
        <w:rPr/>
      </w:pPr>
      <w:r w:rsidDel="00000000" w:rsidR="00000000" w:rsidRPr="00000000">
        <w:rPr>
          <w:rtl w:val="0"/>
        </w:rPr>
        <w:t xml:space="preserve">presentaron alegaciones contra las conclusiones y recomendaciones contenidas en el Informe Técnico. </w:t>
      </w:r>
    </w:p>
    <w:p w:rsidR="00000000" w:rsidDel="00000000" w:rsidP="00000000" w:rsidRDefault="00000000" w:rsidRPr="00000000" w14:paraId="0000002E">
      <w:pPr>
        <w:widowControl w:val="0"/>
        <w:spacing w:after="0" w:line="360" w:lineRule="auto"/>
        <w:jc w:val="both"/>
        <w:rPr/>
      </w:pPr>
      <w:r w:rsidDel="00000000" w:rsidR="00000000" w:rsidRPr="00000000">
        <w:rPr>
          <w:rtl w:val="0"/>
        </w:rPr>
        <w:t xml:space="preserve">12. El 21 de enero de 2022 se realizó una audiencia virtual de Informe Oral, en la que hicieron uso de la palabra los representantes de Cencosud, Tottus, Makro, San Fernando y Supesa. </w:t>
      </w:r>
    </w:p>
    <w:p w:rsidR="00000000" w:rsidDel="00000000" w:rsidP="00000000" w:rsidRDefault="00000000" w:rsidRPr="00000000" w14:paraId="0000002F">
      <w:pPr>
        <w:widowControl w:val="0"/>
        <w:spacing w:after="0" w:line="360" w:lineRule="auto"/>
        <w:jc w:val="both"/>
        <w:rPr/>
      </w:pPr>
      <w:r w:rsidDel="00000000" w:rsidR="00000000" w:rsidRPr="00000000">
        <w:rPr>
          <w:rtl w:val="0"/>
        </w:rPr>
        <w:t xml:space="preserve">13. El 31 de enero de 2022 y el 4 de febrero de 2022, Cencosud, Makro y San Fernando presentaron sus alegatos finales contra las conclusiones y recomendaciones contenidas en el Informe Técnico. </w:t>
      </w:r>
    </w:p>
    <w:p w:rsidR="00000000" w:rsidDel="00000000" w:rsidP="00000000" w:rsidRDefault="00000000" w:rsidRPr="00000000" w14:paraId="00000030">
      <w:pPr>
        <w:widowControl w:val="0"/>
        <w:spacing w:after="0" w:line="360" w:lineRule="auto"/>
        <w:jc w:val="both"/>
        <w:rPr/>
      </w:pPr>
      <w:r w:rsidDel="00000000" w:rsidR="00000000" w:rsidRPr="00000000">
        <w:rPr>
          <w:rtl w:val="0"/>
        </w:rPr>
        <w:t xml:space="preserve">14. A través de la Resolución 014-2022/CLC-INDECOPI del 25 de marzo de 2022 (en adelante Resolución Final) la Comisión resolvió, entre otros20, lo siguiente: </w:t>
      </w:r>
    </w:p>
    <w:p w:rsidR="00000000" w:rsidDel="00000000" w:rsidP="00000000" w:rsidRDefault="00000000" w:rsidRPr="00000000" w14:paraId="00000031">
      <w:pPr>
        <w:widowControl w:val="0"/>
        <w:spacing w:after="0" w:line="360" w:lineRule="auto"/>
        <w:jc w:val="both"/>
        <w:rPr/>
      </w:pPr>
      <w:r w:rsidDel="00000000" w:rsidR="00000000" w:rsidRPr="00000000">
        <w:rPr>
          <w:rtl w:val="0"/>
        </w:rPr>
        <w:t xml:space="preserve">(i) Declarar que Cencosud, Makro, Supesa y Tottus incurrieron en una práctica </w:t>
      </w:r>
    </w:p>
    <w:p w:rsidR="00000000" w:rsidDel="00000000" w:rsidP="00000000" w:rsidRDefault="00000000" w:rsidRPr="00000000" w14:paraId="00000032">
      <w:pPr>
        <w:widowControl w:val="0"/>
        <w:spacing w:after="0" w:line="360" w:lineRule="auto"/>
        <w:jc w:val="both"/>
        <w:rPr/>
      </w:pPr>
      <w:r w:rsidDel="00000000" w:rsidR="00000000" w:rsidRPr="00000000">
        <w:rPr>
          <w:rtl w:val="0"/>
        </w:rPr>
        <w:t xml:space="preserve">colusoria horizontal en la modalidad de acuerdo para la fijación de precios 21 </w:t>
      </w:r>
    </w:p>
    <w:p w:rsidR="00000000" w:rsidDel="00000000" w:rsidP="00000000" w:rsidRDefault="00000000" w:rsidRPr="00000000" w14:paraId="00000033">
      <w:pPr>
        <w:widowControl w:val="0"/>
        <w:spacing w:after="0" w:line="360" w:lineRule="auto"/>
        <w:jc w:val="both"/>
        <w:rPr/>
      </w:pPr>
      <w:r w:rsidDel="00000000" w:rsidR="00000000" w:rsidRPr="00000000">
        <w:rPr>
          <w:rtl w:val="0"/>
        </w:rPr>
        <w:t xml:space="preserve">en el mercado de comercialización de pavo entero San Fernando a nivel nacional, de acuerdo con el siguiente detalle:  </w:t>
      </w:r>
    </w:p>
    <w:p w:rsidR="00000000" w:rsidDel="00000000" w:rsidP="00000000" w:rsidRDefault="00000000" w:rsidRPr="00000000" w14:paraId="00000034">
      <w:pPr>
        <w:widowControl w:val="0"/>
        <w:spacing w:after="0" w:line="360" w:lineRule="auto"/>
        <w:jc w:val="both"/>
        <w:rPr/>
      </w:pPr>
      <w:r w:rsidDel="00000000" w:rsidR="00000000" w:rsidRPr="00000000">
        <w:rPr>
          <w:rtl w:val="0"/>
        </w:rPr>
        <w:t xml:space="preserve">Nro. De episodio / Campaña / Alcance geográfico / Empresa participante / Periodo inicio / periodo fin</w:t>
      </w:r>
    </w:p>
    <w:p w:rsidR="00000000" w:rsidDel="00000000" w:rsidP="00000000" w:rsidRDefault="00000000" w:rsidRPr="00000000" w14:paraId="00000035">
      <w:pPr>
        <w:widowControl w:val="0"/>
        <w:spacing w:after="0" w:line="360" w:lineRule="auto"/>
        <w:jc w:val="both"/>
        <w:rPr/>
      </w:pPr>
      <w:r w:rsidDel="00000000" w:rsidR="00000000" w:rsidRPr="00000000">
        <w:rPr>
          <w:rtl w:val="0"/>
        </w:rPr>
        <w:t xml:space="preserve">1 2009 Nacional Cencosud, Makro 16/11/2009 31/12/2009 </w:t>
      </w:r>
    </w:p>
    <w:p w:rsidR="00000000" w:rsidDel="00000000" w:rsidP="00000000" w:rsidRDefault="00000000" w:rsidRPr="00000000" w14:paraId="00000036">
      <w:pPr>
        <w:widowControl w:val="0"/>
        <w:spacing w:after="0" w:line="360" w:lineRule="auto"/>
        <w:jc w:val="both"/>
        <w:rPr/>
      </w:pPr>
      <w:r w:rsidDel="00000000" w:rsidR="00000000" w:rsidRPr="00000000">
        <w:rPr>
          <w:rtl w:val="0"/>
        </w:rPr>
        <w:t xml:space="preserve">2 2010 NacionalCencosud, Makro, Supesa </w:t>
      </w:r>
    </w:p>
    <w:p w:rsidR="00000000" w:rsidDel="00000000" w:rsidP="00000000" w:rsidRDefault="00000000" w:rsidRPr="00000000" w14:paraId="00000037">
      <w:pPr>
        <w:widowControl w:val="0"/>
        <w:spacing w:after="0" w:line="360" w:lineRule="auto"/>
        <w:jc w:val="both"/>
        <w:rPr/>
      </w:pPr>
      <w:r w:rsidDel="00000000" w:rsidR="00000000" w:rsidRPr="00000000">
        <w:rPr>
          <w:rtl w:val="0"/>
        </w:rPr>
        <w:t xml:space="preserve">y Tottus 16/11/2010 31/12/2010 </w:t>
      </w:r>
    </w:p>
    <w:p w:rsidR="00000000" w:rsidDel="00000000" w:rsidP="00000000" w:rsidRDefault="00000000" w:rsidRPr="00000000" w14:paraId="00000038">
      <w:pPr>
        <w:widowControl w:val="0"/>
        <w:spacing w:after="0" w:line="360" w:lineRule="auto"/>
        <w:jc w:val="both"/>
        <w:rPr/>
      </w:pPr>
      <w:r w:rsidDel="00000000" w:rsidR="00000000" w:rsidRPr="00000000">
        <w:rPr>
          <w:rtl w:val="0"/>
        </w:rPr>
        <w:t xml:space="preserve">3 2011 NacionalCencosud, Makro, Supesa </w:t>
      </w:r>
    </w:p>
    <w:p w:rsidR="00000000" w:rsidDel="00000000" w:rsidP="00000000" w:rsidRDefault="00000000" w:rsidRPr="00000000" w14:paraId="00000039">
      <w:pPr>
        <w:widowControl w:val="0"/>
        <w:spacing w:after="0" w:line="360" w:lineRule="auto"/>
        <w:jc w:val="both"/>
        <w:rPr/>
      </w:pPr>
      <w:r w:rsidDel="00000000" w:rsidR="00000000" w:rsidRPr="00000000">
        <w:rPr>
          <w:rtl w:val="0"/>
        </w:rPr>
        <w:t xml:space="preserve">y Tottus16/11/2011 31/12/2011 </w:t>
      </w:r>
    </w:p>
    <w:p w:rsidR="00000000" w:rsidDel="00000000" w:rsidP="00000000" w:rsidRDefault="00000000" w:rsidRPr="00000000" w14:paraId="0000003A">
      <w:pPr>
        <w:widowControl w:val="0"/>
        <w:spacing w:after="0" w:line="360" w:lineRule="auto"/>
        <w:jc w:val="both"/>
        <w:rPr/>
      </w:pPr>
      <w:r w:rsidDel="00000000" w:rsidR="00000000" w:rsidRPr="00000000">
        <w:rPr>
          <w:rtl w:val="0"/>
        </w:rPr>
        <w:t xml:space="preserve">4 2012 Nacional Makro, Supesa y Tottus 16/11/2012 31/12/2012 </w:t>
      </w:r>
    </w:p>
    <w:p w:rsidR="00000000" w:rsidDel="00000000" w:rsidP="00000000" w:rsidRDefault="00000000" w:rsidRPr="00000000" w14:paraId="0000003B">
      <w:pPr>
        <w:widowControl w:val="0"/>
        <w:spacing w:after="0" w:line="360" w:lineRule="auto"/>
        <w:jc w:val="both"/>
        <w:rPr/>
      </w:pPr>
      <w:r w:rsidDel="00000000" w:rsidR="00000000" w:rsidRPr="00000000">
        <w:rPr>
          <w:rtl w:val="0"/>
        </w:rPr>
        <w:t xml:space="preserve">5 2013 NacionalCencosud, Makro, Supesa </w:t>
      </w:r>
    </w:p>
    <w:p w:rsidR="00000000" w:rsidDel="00000000" w:rsidP="00000000" w:rsidRDefault="00000000" w:rsidRPr="00000000" w14:paraId="0000003C">
      <w:pPr>
        <w:widowControl w:val="0"/>
        <w:spacing w:after="0" w:line="360" w:lineRule="auto"/>
        <w:jc w:val="both"/>
        <w:rPr/>
      </w:pPr>
      <w:r w:rsidDel="00000000" w:rsidR="00000000" w:rsidRPr="00000000">
        <w:rPr>
          <w:rtl w:val="0"/>
        </w:rPr>
        <w:t xml:space="preserve">y Tottus16/11/2013 31/12/2013 </w:t>
      </w:r>
    </w:p>
    <w:p w:rsidR="00000000" w:rsidDel="00000000" w:rsidP="00000000" w:rsidRDefault="00000000" w:rsidRPr="00000000" w14:paraId="0000003D">
      <w:pPr>
        <w:widowControl w:val="0"/>
        <w:spacing w:after="0" w:line="360" w:lineRule="auto"/>
        <w:jc w:val="both"/>
        <w:rPr/>
      </w:pPr>
      <w:r w:rsidDel="00000000" w:rsidR="00000000" w:rsidRPr="00000000">
        <w:rPr>
          <w:rtl w:val="0"/>
        </w:rPr>
        <w:t xml:space="preserve">6 2015 NacionalCencosud, Makro, Supesa </w:t>
      </w:r>
    </w:p>
    <w:p w:rsidR="00000000" w:rsidDel="00000000" w:rsidP="00000000" w:rsidRDefault="00000000" w:rsidRPr="00000000" w14:paraId="0000003E">
      <w:pPr>
        <w:widowControl w:val="0"/>
        <w:spacing w:after="0" w:line="360" w:lineRule="auto"/>
        <w:jc w:val="both"/>
        <w:rPr/>
      </w:pPr>
      <w:r w:rsidDel="00000000" w:rsidR="00000000" w:rsidRPr="00000000">
        <w:rPr>
          <w:rtl w:val="0"/>
        </w:rPr>
        <w:t xml:space="preserve">y Tottus16/11/2015 31/12/2015 </w:t>
      </w:r>
    </w:p>
    <w:p w:rsidR="00000000" w:rsidDel="00000000" w:rsidP="00000000" w:rsidRDefault="00000000" w:rsidRPr="00000000" w14:paraId="0000003F">
      <w:pPr>
        <w:widowControl w:val="0"/>
        <w:spacing w:after="0" w:line="360" w:lineRule="auto"/>
        <w:jc w:val="both"/>
        <w:rPr/>
      </w:pPr>
      <w:r w:rsidDel="00000000" w:rsidR="00000000" w:rsidRPr="00000000">
        <w:rPr>
          <w:rtl w:val="0"/>
        </w:rPr>
        <w:t xml:space="preserve">7 2016 Nacional Cencosud, Supesa y Tottus 16/11/2016 31/12/2016 </w:t>
      </w:r>
    </w:p>
    <w:p w:rsidR="00000000" w:rsidDel="00000000" w:rsidP="00000000" w:rsidRDefault="00000000" w:rsidRPr="00000000" w14:paraId="00000040">
      <w:pPr>
        <w:widowControl w:val="0"/>
        <w:spacing w:after="0" w:line="360" w:lineRule="auto"/>
        <w:jc w:val="both"/>
        <w:rPr/>
      </w:pPr>
      <w:r w:rsidDel="00000000" w:rsidR="00000000" w:rsidRPr="00000000">
        <w:rPr>
          <w:rtl w:val="0"/>
        </w:rPr>
        <w:t xml:space="preserve">Fuente: Sexto punto resolutivo de la Resolución Final del 25 de marzo de 2022. </w:t>
      </w:r>
    </w:p>
    <w:p w:rsidR="00000000" w:rsidDel="00000000" w:rsidP="00000000" w:rsidRDefault="00000000" w:rsidRPr="00000000" w14:paraId="00000041">
      <w:pPr>
        <w:widowControl w:val="0"/>
        <w:spacing w:after="0" w:line="360" w:lineRule="auto"/>
        <w:jc w:val="both"/>
        <w:rPr/>
      </w:pPr>
      <w:r w:rsidDel="00000000" w:rsidR="00000000" w:rsidRPr="00000000">
        <w:rPr>
          <w:rtl w:val="0"/>
        </w:rPr>
        <w:t xml:space="preserve">(ii) Declarar que San Fernando participó como planificador, intermediario o facilitador, en los años 2015 y 2016, de la práctica colusoria horizontal señalada en el numeral (i) antecedente. </w:t>
      </w:r>
    </w:p>
    <w:p w:rsidR="00000000" w:rsidDel="00000000" w:rsidP="00000000" w:rsidRDefault="00000000" w:rsidRPr="00000000" w14:paraId="00000042">
      <w:pPr>
        <w:widowControl w:val="0"/>
        <w:spacing w:after="0" w:line="360" w:lineRule="auto"/>
        <w:jc w:val="both"/>
        <w:rPr/>
      </w:pPr>
      <w:r w:rsidDel="00000000" w:rsidR="00000000" w:rsidRPr="00000000">
        <w:rPr>
          <w:rtl w:val="0"/>
        </w:rPr>
        <w:t xml:space="preserve">(iii) Sancionar a Cencosud, Makro, Supesa, Tottus y San Fernando con las siguientes multas: </w:t>
      </w:r>
    </w:p>
    <w:p w:rsidR="00000000" w:rsidDel="00000000" w:rsidP="00000000" w:rsidRDefault="00000000" w:rsidRPr="00000000" w14:paraId="00000043">
      <w:pPr>
        <w:widowControl w:val="0"/>
        <w:spacing w:after="0" w:line="360" w:lineRule="auto"/>
        <w:jc w:val="both"/>
        <w:rPr/>
      </w:pPr>
      <w:r w:rsidDel="00000000" w:rsidR="00000000" w:rsidRPr="00000000">
        <w:rPr>
          <w:rtl w:val="0"/>
        </w:rPr>
        <w:t xml:space="preserve">Empresa / Multa (UIT) </w:t>
      </w:r>
    </w:p>
    <w:p w:rsidR="00000000" w:rsidDel="00000000" w:rsidP="00000000" w:rsidRDefault="00000000" w:rsidRPr="00000000" w14:paraId="00000044">
      <w:pPr>
        <w:widowControl w:val="0"/>
        <w:spacing w:after="0" w:line="360" w:lineRule="auto"/>
        <w:jc w:val="both"/>
        <w:rPr/>
      </w:pPr>
      <w:r w:rsidDel="00000000" w:rsidR="00000000" w:rsidRPr="00000000">
        <w:rPr>
          <w:rtl w:val="0"/>
        </w:rPr>
        <w:t xml:space="preserve">Cencosud Retail Peru S.A. / 1,000.00 </w:t>
      </w:r>
    </w:p>
    <w:p w:rsidR="00000000" w:rsidDel="00000000" w:rsidP="00000000" w:rsidRDefault="00000000" w:rsidRPr="00000000" w14:paraId="00000045">
      <w:pPr>
        <w:widowControl w:val="0"/>
        <w:spacing w:after="0" w:line="360" w:lineRule="auto"/>
        <w:jc w:val="both"/>
        <w:rPr/>
      </w:pPr>
      <w:r w:rsidDel="00000000" w:rsidR="00000000" w:rsidRPr="00000000">
        <w:rPr>
          <w:rtl w:val="0"/>
        </w:rPr>
        <w:t xml:space="preserve">Makro Supermayorista S.A. / 188.75 </w:t>
      </w:r>
    </w:p>
    <w:p w:rsidR="00000000" w:rsidDel="00000000" w:rsidP="00000000" w:rsidRDefault="00000000" w:rsidRPr="00000000" w14:paraId="00000046">
      <w:pPr>
        <w:widowControl w:val="0"/>
        <w:spacing w:after="0" w:line="360" w:lineRule="auto"/>
        <w:jc w:val="both"/>
        <w:rPr/>
      </w:pPr>
      <w:r w:rsidDel="00000000" w:rsidR="00000000" w:rsidRPr="00000000">
        <w:rPr>
          <w:rtl w:val="0"/>
        </w:rPr>
        <w:t xml:space="preserve">Supermercados Peruanos S.A. / 1,000.00 </w:t>
      </w:r>
    </w:p>
    <w:p w:rsidR="00000000" w:rsidDel="00000000" w:rsidP="00000000" w:rsidRDefault="00000000" w:rsidRPr="00000000" w14:paraId="00000047">
      <w:pPr>
        <w:widowControl w:val="0"/>
        <w:spacing w:after="0" w:line="360" w:lineRule="auto"/>
        <w:jc w:val="both"/>
        <w:rPr/>
      </w:pPr>
      <w:r w:rsidDel="00000000" w:rsidR="00000000" w:rsidRPr="00000000">
        <w:rPr>
          <w:rtl w:val="0"/>
        </w:rPr>
        <w:t xml:space="preserve">Hipermercados Tottus S.A. / 1,000.00 </w:t>
      </w:r>
    </w:p>
    <w:p w:rsidR="00000000" w:rsidDel="00000000" w:rsidP="00000000" w:rsidRDefault="00000000" w:rsidRPr="00000000" w14:paraId="00000048">
      <w:pPr>
        <w:widowControl w:val="0"/>
        <w:spacing w:after="0" w:line="360" w:lineRule="auto"/>
        <w:jc w:val="both"/>
        <w:rPr/>
      </w:pPr>
      <w:r w:rsidDel="00000000" w:rsidR="00000000" w:rsidRPr="00000000">
        <w:rPr>
          <w:rtl w:val="0"/>
        </w:rPr>
        <w:t xml:space="preserve">San Fernando S.A. / 559.33 </w:t>
      </w:r>
    </w:p>
    <w:p w:rsidR="00000000" w:rsidDel="00000000" w:rsidP="00000000" w:rsidRDefault="00000000" w:rsidRPr="00000000" w14:paraId="00000049">
      <w:pPr>
        <w:widowControl w:val="0"/>
        <w:spacing w:after="0" w:line="360" w:lineRule="auto"/>
        <w:jc w:val="both"/>
        <w:rPr/>
      </w:pPr>
      <w:r w:rsidDel="00000000" w:rsidR="00000000" w:rsidRPr="00000000">
        <w:rPr>
          <w:rtl w:val="0"/>
        </w:rPr>
        <w:t xml:space="preserve">Fuente: Octavo punto resolutivo de la Resolución Final del 25 de marzo de 2022. </w:t>
      </w:r>
    </w:p>
    <w:p w:rsidR="00000000" w:rsidDel="00000000" w:rsidP="00000000" w:rsidRDefault="00000000" w:rsidRPr="00000000" w14:paraId="0000004A">
      <w:pPr>
        <w:widowControl w:val="0"/>
        <w:spacing w:after="0" w:line="360" w:lineRule="auto"/>
        <w:jc w:val="both"/>
        <w:rPr/>
      </w:pPr>
      <w:r w:rsidDel="00000000" w:rsidR="00000000" w:rsidRPr="00000000">
        <w:rPr>
          <w:rtl w:val="0"/>
        </w:rPr>
        <w:t xml:space="preserve">(iv) Ordenar a Cencosud, Makro, Supesa, Tottus y San Fernando la implementación de un programa de cumplimiento de la normativa de libre competencia, bajo las características señaladas en la sección VIII de la Resolución Final. Dicho programa deberá ser financiado por cada una de las empresas y aplicado durante tres (3) años. </w:t>
      </w:r>
    </w:p>
    <w:p w:rsidR="00000000" w:rsidDel="00000000" w:rsidP="00000000" w:rsidRDefault="00000000" w:rsidRPr="00000000" w14:paraId="0000004B">
      <w:pPr>
        <w:widowControl w:val="0"/>
        <w:spacing w:after="0" w:line="360" w:lineRule="auto"/>
        <w:jc w:val="both"/>
        <w:rPr/>
      </w:pPr>
      <w:r w:rsidDel="00000000" w:rsidR="00000000" w:rsidRPr="00000000">
        <w:rPr>
          <w:rtl w:val="0"/>
        </w:rPr>
        <w:t xml:space="preserve">15. La primera instancia sustentó su decisión en los siguientes fundamentos: </w:t>
      </w:r>
    </w:p>
    <w:p w:rsidR="00000000" w:rsidDel="00000000" w:rsidP="00000000" w:rsidRDefault="00000000" w:rsidRPr="00000000" w14:paraId="0000004C">
      <w:pPr>
        <w:widowControl w:val="0"/>
        <w:spacing w:after="0" w:line="360" w:lineRule="auto"/>
        <w:jc w:val="both"/>
        <w:rPr/>
      </w:pPr>
      <w:r w:rsidDel="00000000" w:rsidR="00000000" w:rsidRPr="00000000">
        <w:rPr>
          <w:rtl w:val="0"/>
        </w:rPr>
        <w:t xml:space="preserve">(i) A fin de identificar un supuesto de competencia intra marca, la autoridad deberá analizar (a) si el producto objeto del acuerdo es de la misma marca; y, (b) si el proveedor o productor impone una política marcaria al minorista (por ejemplo, a través de la fijación de precios de reventa). Por el contrario, si el minorista actúa de forma independiente, buscando posicionar su propia marca en el mercado, se tratará de un supuesto de competencia inter marca. </w:t>
      </w:r>
    </w:p>
    <w:p w:rsidR="00000000" w:rsidDel="00000000" w:rsidP="00000000" w:rsidRDefault="00000000" w:rsidRPr="00000000" w14:paraId="0000004D">
      <w:pPr>
        <w:widowControl w:val="0"/>
        <w:spacing w:after="0" w:line="360" w:lineRule="auto"/>
        <w:jc w:val="both"/>
        <w:rPr/>
      </w:pPr>
      <w:r w:rsidDel="00000000" w:rsidR="00000000" w:rsidRPr="00000000">
        <w:rPr>
          <w:rtl w:val="0"/>
        </w:rPr>
        <w:t xml:space="preserve">(ii) En el presente caso: (a) los precios de reventa del pavo entero de la marca San Fernando únicamente eran sugeridos por dicho agente económico; y, (b) los autoservicios involucrados en la conducta imputada mantenían independencia respecto de lo sugerido por San Fernando para la fijación del precio, compitiendo entre sí en el mercado de comercialización minorista, con la finalidad de posicionar su propia marca. En ese sentido, a pesar de que el acuerdo entre competidores estuvo dirigido a concertar el precio del pavo de la marca San Fernando, se trataría de un supuesto de competencia inter marca. </w:t>
      </w:r>
    </w:p>
    <w:p w:rsidR="00000000" w:rsidDel="00000000" w:rsidP="00000000" w:rsidRDefault="00000000" w:rsidRPr="00000000" w14:paraId="0000004E">
      <w:pPr>
        <w:widowControl w:val="0"/>
        <w:spacing w:after="0" w:line="360" w:lineRule="auto"/>
        <w:jc w:val="both"/>
        <w:rPr/>
      </w:pPr>
      <w:r w:rsidDel="00000000" w:rsidR="00000000" w:rsidRPr="00000000">
        <w:rPr>
          <w:rtl w:val="0"/>
        </w:rPr>
        <w:t xml:space="preserve">(iii) Respecto de la responsabilidad de las imputadas por la realización de la práctica imputada en el mercado de comercialización de pavo entero San Fernando: </w:t>
      </w:r>
    </w:p>
    <w:p w:rsidR="00000000" w:rsidDel="00000000" w:rsidP="00000000" w:rsidRDefault="00000000" w:rsidRPr="00000000" w14:paraId="0000004F">
      <w:pPr>
        <w:widowControl w:val="0"/>
        <w:spacing w:after="0" w:line="360" w:lineRule="auto"/>
        <w:jc w:val="both"/>
        <w:rPr/>
      </w:pPr>
      <w:r w:rsidDel="00000000" w:rsidR="00000000" w:rsidRPr="00000000">
        <w:rPr>
          <w:rtl w:val="0"/>
        </w:rPr>
        <w:t xml:space="preserve">a. Cencosud, Makro, Supesa y Tottus observaron, por acuerdo entre ellas, una regla común con la supervisión de San Fernando -bajo el esquema hub &amp; spoke-, consistente en el respeto de un precio de venta al público mínimo sugerido (en adelante PVPms) comunicado por el proveedor, en la comercialización de pavo entero marca San Fernando en las campañas navideñas del período investigado. </w:t>
      </w:r>
    </w:p>
    <w:p w:rsidR="00000000" w:rsidDel="00000000" w:rsidP="00000000" w:rsidRDefault="00000000" w:rsidRPr="00000000" w14:paraId="00000050">
      <w:pPr>
        <w:widowControl w:val="0"/>
        <w:spacing w:after="0" w:line="360" w:lineRule="auto"/>
        <w:jc w:val="both"/>
        <w:rPr/>
      </w:pPr>
      <w:r w:rsidDel="00000000" w:rsidR="00000000" w:rsidRPr="00000000">
        <w:rPr>
          <w:rtl w:val="0"/>
        </w:rPr>
        <w:t xml:space="preserve">b. Se ha verificado que el acatamiento de esta regla tuvo como objetivo general el restringir la competencia en precios respecto del producto pavo entero, pues en varias comunicaciones se aprecia que el establecimiento de tal PVPms tenía como finalidad “evitar la guerra de precios” entre las cadenas (MAK-12 , MAK-13, MAK-15, SUP-01 y MAK-08) y “tener una campaña ordenada y con rentabilidad” (CEN-13). </w:t>
      </w:r>
    </w:p>
    <w:p w:rsidR="00000000" w:rsidDel="00000000" w:rsidP="00000000" w:rsidRDefault="00000000" w:rsidRPr="00000000" w14:paraId="00000051">
      <w:pPr>
        <w:widowControl w:val="0"/>
        <w:spacing w:after="0" w:line="360" w:lineRule="auto"/>
        <w:jc w:val="both"/>
        <w:rPr/>
      </w:pPr>
      <w:r w:rsidDel="00000000" w:rsidR="00000000" w:rsidRPr="00000000">
        <w:rPr>
          <w:rtl w:val="0"/>
        </w:rPr>
        <w:t xml:space="preserve">c. Se ha evidenciado que San Fernando fungió como facilitador de la práctica anticompetitiva, al recibir y transmitir los reclamos o quejas de los autoservicios y realizar gestiones conducentes al cumplimiento del PVPms de manera conjunta por parte de los autoservicios. Dicha actuación se encuentra tipificada como infracción en el artículo 2.4 del TUO de la LRCA desde el año 201524. </w:t>
      </w:r>
    </w:p>
    <w:p w:rsidR="00000000" w:rsidDel="00000000" w:rsidP="00000000" w:rsidRDefault="00000000" w:rsidRPr="00000000" w14:paraId="00000052">
      <w:pPr>
        <w:widowControl w:val="0"/>
        <w:spacing w:after="0" w:line="360" w:lineRule="auto"/>
        <w:jc w:val="both"/>
        <w:rPr/>
      </w:pPr>
      <w:r w:rsidDel="00000000" w:rsidR="00000000" w:rsidRPr="00000000">
        <w:rPr>
          <w:rtl w:val="0"/>
        </w:rPr>
        <w:t xml:space="preserve">16. El 25 de abril de 2022, Makro interpuso recurso de apelación contra la Resolución Final formulando, entre otros, los siguientes argumentos: </w:t>
      </w:r>
    </w:p>
    <w:p w:rsidR="00000000" w:rsidDel="00000000" w:rsidP="00000000" w:rsidRDefault="00000000" w:rsidRPr="00000000" w14:paraId="00000053">
      <w:pPr>
        <w:widowControl w:val="0"/>
        <w:spacing w:after="0" w:line="360" w:lineRule="auto"/>
        <w:jc w:val="both"/>
        <w:rPr/>
      </w:pPr>
      <w:r w:rsidDel="00000000" w:rsidR="00000000" w:rsidRPr="00000000">
        <w:rPr>
          <w:rtl w:val="0"/>
        </w:rPr>
        <w:t xml:space="preserve">(i) Debido a que la restricción impuesta por San Fernando a los autoservicios habría sido intra marca, la conducta imputada debió ser analizada bajo la prohibición relativa. </w:t>
      </w:r>
    </w:p>
    <w:p w:rsidR="00000000" w:rsidDel="00000000" w:rsidP="00000000" w:rsidRDefault="00000000" w:rsidRPr="00000000" w14:paraId="00000054">
      <w:pPr>
        <w:widowControl w:val="0"/>
        <w:spacing w:after="0" w:line="360" w:lineRule="auto"/>
        <w:jc w:val="both"/>
        <w:rPr/>
      </w:pPr>
      <w:r w:rsidDel="00000000" w:rsidR="00000000" w:rsidRPr="00000000">
        <w:rPr>
          <w:rtl w:val="0"/>
        </w:rPr>
        <w:t xml:space="preserve">(ii) La conducta imputada podría ser calificada como una restricción vertical bajo la modalidad de mantenimiento de precios de reventa (RPM, por sus siglas en inglés ), pues es un hecho objetivo que existe una dependencia total de su empresa hacia San Fernando y, como consecuencia, esta última mantenía un poder importante de negociación frente a sus distribuidores de pavo. </w:t>
      </w:r>
    </w:p>
    <w:p w:rsidR="00000000" w:rsidDel="00000000" w:rsidP="00000000" w:rsidRDefault="00000000" w:rsidRPr="00000000" w14:paraId="00000055">
      <w:pPr>
        <w:widowControl w:val="0"/>
        <w:spacing w:after="0" w:line="360" w:lineRule="auto"/>
        <w:jc w:val="both"/>
        <w:rPr/>
      </w:pPr>
      <w:r w:rsidDel="00000000" w:rsidR="00000000" w:rsidRPr="00000000">
        <w:rPr>
          <w:rtl w:val="0"/>
        </w:rPr>
        <w:t xml:space="preserve">(iii) La supuesta independencia de los autoservicios para establecer los precios de venta al público difería de la realidad. A pesar de que el PVPms establecido por San Fernando no era obligatorio, en la práctica, los autoservicios sí se vieron constreñidos a mantener tales precios, al menos hasta el año 2013, periodo durante el cual las amenazas de San Fernando eran explícitas. </w:t>
      </w:r>
    </w:p>
    <w:p w:rsidR="00000000" w:rsidDel="00000000" w:rsidP="00000000" w:rsidRDefault="00000000" w:rsidRPr="00000000" w14:paraId="00000056">
      <w:pPr>
        <w:widowControl w:val="0"/>
        <w:spacing w:after="0" w:line="360" w:lineRule="auto"/>
        <w:jc w:val="both"/>
        <w:rPr/>
      </w:pPr>
      <w:r w:rsidDel="00000000" w:rsidR="00000000" w:rsidRPr="00000000">
        <w:rPr>
          <w:rtl w:val="0"/>
        </w:rPr>
        <w:t xml:space="preserve">(iv) No existe evidencia alguna de que: (a) su empresa se comprometiera a respetar el PVPms establecido por San Fernando para la campaña navideña 2015, (b) condicionara dicho respeto a que sus competidores también lo cumplieran; o que, (c) existiera una queja o reclamo derivado de los desvíos por parte de Makro respecto del referido PVPms. Debido a lo anterior, la primera instancia no cumplió con sustentar su participación en la conducta imputada durante la campaña navideña 2015 más allá de toda duda razonable. </w:t>
      </w:r>
    </w:p>
    <w:p w:rsidR="00000000" w:rsidDel="00000000" w:rsidP="00000000" w:rsidRDefault="00000000" w:rsidRPr="00000000" w14:paraId="00000057">
      <w:pPr>
        <w:widowControl w:val="0"/>
        <w:spacing w:after="0" w:line="360" w:lineRule="auto"/>
        <w:jc w:val="both"/>
        <w:rPr/>
      </w:pPr>
      <w:r w:rsidDel="00000000" w:rsidR="00000000" w:rsidRPr="00000000">
        <w:rPr>
          <w:rtl w:val="0"/>
        </w:rPr>
        <w:t xml:space="preserve">17. El 25 de abril de 2022, Cencosud interpuso recurso de apelación contra la Resolución Final formulando, entre otros, los siguientes argumentos: </w:t>
      </w:r>
    </w:p>
    <w:p w:rsidR="00000000" w:rsidDel="00000000" w:rsidP="00000000" w:rsidRDefault="00000000" w:rsidRPr="00000000" w14:paraId="00000058">
      <w:pPr>
        <w:widowControl w:val="0"/>
        <w:spacing w:after="0" w:line="360" w:lineRule="auto"/>
        <w:jc w:val="both"/>
        <w:rPr/>
      </w:pPr>
      <w:r w:rsidDel="00000000" w:rsidR="00000000" w:rsidRPr="00000000">
        <w:rPr>
          <w:rtl w:val="0"/>
        </w:rPr>
        <w:t xml:space="preserve">(i) La definición de competencia intra marca e inter marca utilizada por la Comisión contraviene el principio de tipicidad, pues se sustenta en una interpretación extensiva del tipo sancionador aplicable. </w:t>
      </w:r>
    </w:p>
    <w:p w:rsidR="00000000" w:rsidDel="00000000" w:rsidP="00000000" w:rsidRDefault="00000000" w:rsidRPr="00000000" w14:paraId="00000059">
      <w:pPr>
        <w:widowControl w:val="0"/>
        <w:spacing w:after="0" w:line="360" w:lineRule="auto"/>
        <w:jc w:val="both"/>
        <w:rPr/>
      </w:pPr>
      <w:r w:rsidDel="00000000" w:rsidR="00000000" w:rsidRPr="00000000">
        <w:rPr>
          <w:rtl w:val="0"/>
        </w:rPr>
        <w:t xml:space="preserve">(ii) Según la primera instancia, un acuerdo de precios intra marca podrá ser sancionado como prohibición absoluta siempre que no se verifique la existencia de una “política marcaria uniforme”, lo cual es un concepto que no se desprende del TUO de la LRCA, de la doctrina ni de los pronunciamientos habituales del Indecopi. </w:t>
      </w:r>
    </w:p>
    <w:p w:rsidR="00000000" w:rsidDel="00000000" w:rsidP="00000000" w:rsidRDefault="00000000" w:rsidRPr="00000000" w14:paraId="0000005A">
      <w:pPr>
        <w:widowControl w:val="0"/>
        <w:spacing w:after="0" w:line="360" w:lineRule="auto"/>
        <w:jc w:val="both"/>
        <w:rPr/>
      </w:pPr>
      <w:r w:rsidDel="00000000" w:rsidR="00000000" w:rsidRPr="00000000">
        <w:rPr>
          <w:rtl w:val="0"/>
        </w:rPr>
        <w:t xml:space="preserve">18. El 25 de abril de 2022, Tottus interpuso recurso de apelación contra la Resolución Final formulando, entre otros, los siguientes argumentos: </w:t>
      </w:r>
    </w:p>
    <w:p w:rsidR="00000000" w:rsidDel="00000000" w:rsidP="00000000" w:rsidRDefault="00000000" w:rsidRPr="00000000" w14:paraId="0000005B">
      <w:pPr>
        <w:widowControl w:val="0"/>
        <w:spacing w:after="0" w:line="360" w:lineRule="auto"/>
        <w:jc w:val="both"/>
        <w:rPr/>
      </w:pPr>
      <w:r w:rsidDel="00000000" w:rsidR="00000000" w:rsidRPr="00000000">
        <w:rPr>
          <w:rtl w:val="0"/>
        </w:rPr>
        <w:t xml:space="preserve">(i) El artículo 11.2 del TUO de la LRCA es claro al establecer que una práctica colusoria horizontal debe tener una naturaleza inter marca para ser sancionable bajo la prohibición absoluta. </w:t>
      </w:r>
    </w:p>
    <w:p w:rsidR="00000000" w:rsidDel="00000000" w:rsidP="00000000" w:rsidRDefault="00000000" w:rsidRPr="00000000" w14:paraId="0000005C">
      <w:pPr>
        <w:widowControl w:val="0"/>
        <w:spacing w:after="0" w:line="360" w:lineRule="auto"/>
        <w:jc w:val="both"/>
        <w:rPr/>
      </w:pPr>
      <w:r w:rsidDel="00000000" w:rsidR="00000000" w:rsidRPr="00000000">
        <w:rPr>
          <w:rtl w:val="0"/>
        </w:rPr>
        <w:t xml:space="preserve">(ii) En el presente caso, el acuerdo cuestionado recae sobre el precio del producto (pavo entero) de una misma marca (San Fernando). Así pues, la conducta imputada no califica como una práctica colusoria horizontal inter marca; por lo que, no se cumple con el requisito establecido por el TUO de la LRCA para ser sancionada bajo una prohibición absoluta. A pesar de lo anterior, la Comisión ha extendido ilegalmente los alcances del concepto de competencia inter marca para sancionar esta conducta, vulnerando los principios de legalidad y tipicidad. </w:t>
      </w:r>
    </w:p>
    <w:p w:rsidR="00000000" w:rsidDel="00000000" w:rsidP="00000000" w:rsidRDefault="00000000" w:rsidRPr="00000000" w14:paraId="0000005D">
      <w:pPr>
        <w:widowControl w:val="0"/>
        <w:spacing w:after="0" w:line="360" w:lineRule="auto"/>
        <w:jc w:val="both"/>
        <w:rPr/>
      </w:pPr>
      <w:r w:rsidDel="00000000" w:rsidR="00000000" w:rsidRPr="00000000">
        <w:rPr>
          <w:rtl w:val="0"/>
        </w:rPr>
        <w:t xml:space="preserve">(iii) La conducta imputada podría ser calificada como a una restricción vertical. Al respecto, los argumentos expuestos por la Comisión para no tomar en cuenta los criterios establecidos por la jurisprudencia internacional con relación a la evaluación de prácticas bajo la modalidad de hub &amp; spoke son insuficientes; conllevando una vulneración de los principios de predictibilidad y confianza legítima. </w:t>
      </w:r>
    </w:p>
    <w:p w:rsidR="00000000" w:rsidDel="00000000" w:rsidP="00000000" w:rsidRDefault="00000000" w:rsidRPr="00000000" w14:paraId="0000005E">
      <w:pPr>
        <w:widowControl w:val="0"/>
        <w:spacing w:after="0" w:line="360" w:lineRule="auto"/>
        <w:jc w:val="both"/>
        <w:rPr/>
      </w:pPr>
      <w:r w:rsidDel="00000000" w:rsidR="00000000" w:rsidRPr="00000000">
        <w:rPr>
          <w:rtl w:val="0"/>
        </w:rPr>
        <w:t xml:space="preserve">19. El 25 de abril de 2022, San Fernando interpuso recurso de apelación contra la Resolución Final formulando, entre otros, los siguientes argumentos: </w:t>
      </w:r>
    </w:p>
    <w:p w:rsidR="00000000" w:rsidDel="00000000" w:rsidP="00000000" w:rsidRDefault="00000000" w:rsidRPr="00000000" w14:paraId="0000005F">
      <w:pPr>
        <w:widowControl w:val="0"/>
        <w:spacing w:after="0" w:line="360" w:lineRule="auto"/>
        <w:jc w:val="both"/>
        <w:rPr/>
      </w:pPr>
      <w:r w:rsidDel="00000000" w:rsidR="00000000" w:rsidRPr="00000000">
        <w:rPr>
          <w:rtl w:val="0"/>
        </w:rPr>
        <w:t xml:space="preserve">(i) Si bien cada autoridad debe interpretar las normas para su aplicación en cada caso en concreto, ello no la habilita a modificar los tipos sancionadores, alterando artificialmente una conducta que en los hechos es intra marca para convertirla en inter marca vía la creación de un criterio “ad-hoc”. </w:t>
      </w:r>
    </w:p>
    <w:p w:rsidR="00000000" w:rsidDel="00000000" w:rsidP="00000000" w:rsidRDefault="00000000" w:rsidRPr="00000000" w14:paraId="00000060">
      <w:pPr>
        <w:widowControl w:val="0"/>
        <w:spacing w:after="0" w:line="360" w:lineRule="auto"/>
        <w:jc w:val="both"/>
        <w:rPr/>
      </w:pPr>
      <w:r w:rsidDel="00000000" w:rsidR="00000000" w:rsidRPr="00000000">
        <w:rPr>
          <w:rtl w:val="0"/>
        </w:rPr>
        <w:t xml:space="preserve">(ii) En la Resolución Final, la Comisión ha indicado que, pese a tratarse de un caso de competencia entre productos de una misma marca, esta será entendida como un supuesto de competencia inter marca, pues el proveedor no ha establecido una política marcaria general que contemple, por ejemplo, una política de precios. Dicha interpretación no resulta acorde con lo dispuesto por el tipo infractor imputado y, por tanto, constituye una vulneración al principio de tipicidad. </w:t>
      </w:r>
    </w:p>
    <w:p w:rsidR="00000000" w:rsidDel="00000000" w:rsidP="00000000" w:rsidRDefault="00000000" w:rsidRPr="00000000" w14:paraId="00000061">
      <w:pPr>
        <w:widowControl w:val="0"/>
        <w:spacing w:after="0" w:line="360" w:lineRule="auto"/>
        <w:jc w:val="both"/>
        <w:rPr/>
      </w:pPr>
      <w:r w:rsidDel="00000000" w:rsidR="00000000" w:rsidRPr="00000000">
        <w:rPr>
          <w:rtl w:val="0"/>
        </w:rPr>
        <w:t xml:space="preserve">(iii) Con relación a los correos SUP-12 a SUP-14, relativos a la campaña navideña 2015, no se ha demostrado que los demás autoservicios conocían de la existencia de algún acuerdo ni la existencia de alguna coordinación entre estos, de manera que la primera instancia no acreditó la existencia de un “entendimiento común” por parte de los agentes imputados. </w:t>
      </w:r>
    </w:p>
    <w:p w:rsidR="00000000" w:rsidDel="00000000" w:rsidP="00000000" w:rsidRDefault="00000000" w:rsidRPr="00000000" w14:paraId="00000062">
      <w:pPr>
        <w:widowControl w:val="0"/>
        <w:spacing w:after="0" w:line="360" w:lineRule="auto"/>
        <w:jc w:val="both"/>
        <w:rPr/>
      </w:pPr>
      <w:r w:rsidDel="00000000" w:rsidR="00000000" w:rsidRPr="00000000">
        <w:rPr>
          <w:rtl w:val="0"/>
        </w:rPr>
        <w:t xml:space="preserve">(iv) Las afirmaciones contenidas en el correo SUP-12, relativas a que el PVPms habría sido “pactado con todo el canal” y a que se estaba gestionando “para que éste se respete” no dan cuenta de su rol de supervisor del cumplimiento del acuerdo por parte de los autoservicios. A su entender, una política de precios sugeridos implica que el valor establecido del producto para la venta al público es aplicable al grueso de sus distribuidores (ello explicaría la afirmación “pactado con todo el canal”). La adopción de acciones por parte del proveedor para que dicho precio “se respete” denotaría la existencia de un escenario de fijación de precios de reventa (RPM). </w:t>
      </w:r>
    </w:p>
    <w:p w:rsidR="00000000" w:rsidDel="00000000" w:rsidP="00000000" w:rsidRDefault="00000000" w:rsidRPr="00000000" w14:paraId="00000063">
      <w:pPr>
        <w:widowControl w:val="0"/>
        <w:spacing w:after="0" w:line="360" w:lineRule="auto"/>
        <w:jc w:val="both"/>
        <w:rPr/>
      </w:pPr>
      <w:r w:rsidDel="00000000" w:rsidR="00000000" w:rsidRPr="00000000">
        <w:rPr>
          <w:rtl w:val="0"/>
        </w:rPr>
        <w:t xml:space="preserve">20. El 26 de abril de 2022, Supesa interpuso recurso de apelación contra la Resolución Final en los extremos relativos a la graduación de la multa y a la medida correctiva que le fueron impuestas. </w:t>
      </w:r>
    </w:p>
    <w:p w:rsidR="00000000" w:rsidDel="00000000" w:rsidP="00000000" w:rsidRDefault="00000000" w:rsidRPr="00000000" w14:paraId="00000064">
      <w:pPr>
        <w:widowControl w:val="0"/>
        <w:spacing w:after="0" w:line="360" w:lineRule="auto"/>
        <w:jc w:val="both"/>
        <w:rPr/>
      </w:pPr>
      <w:r w:rsidDel="00000000" w:rsidR="00000000" w:rsidRPr="00000000">
        <w:rPr>
          <w:rtl w:val="0"/>
        </w:rPr>
        <w:t xml:space="preserve">21. El 2 de setiembre de 2022, Cencosud presentó un escrito al que adjuntó el Informe de Experto en Derecho Administrativo (elaborado por los abogados Juan Carlos Morón Urbina y Natalia Mori Torres) y en el que resumió los principales argumentos desarrollados en dicho informe. </w:t>
      </w:r>
    </w:p>
    <w:p w:rsidR="00000000" w:rsidDel="00000000" w:rsidP="00000000" w:rsidRDefault="00000000" w:rsidRPr="00000000" w14:paraId="00000065">
      <w:pPr>
        <w:widowControl w:val="0"/>
        <w:spacing w:after="0" w:line="360" w:lineRule="auto"/>
        <w:jc w:val="both"/>
        <w:rPr/>
      </w:pPr>
      <w:r w:rsidDel="00000000" w:rsidR="00000000" w:rsidRPr="00000000">
        <w:rPr>
          <w:rtl w:val="0"/>
        </w:rPr>
        <w:t xml:space="preserve">22. El 5 de setiembre de 2022, Cencosud presentó un escrito adicional en el que detalló las razones por las cuales la Resolución Final se sustenta en una interpretación de los conceptos de competencia inter marca e intra marca que contraviene el principio de tipicidad. </w:t>
      </w:r>
    </w:p>
    <w:p w:rsidR="00000000" w:rsidDel="00000000" w:rsidP="00000000" w:rsidRDefault="00000000" w:rsidRPr="00000000" w14:paraId="00000066">
      <w:pPr>
        <w:widowControl w:val="0"/>
        <w:spacing w:after="0" w:line="360" w:lineRule="auto"/>
        <w:jc w:val="both"/>
        <w:rPr/>
      </w:pPr>
      <w:r w:rsidDel="00000000" w:rsidR="00000000" w:rsidRPr="00000000">
        <w:rPr>
          <w:rtl w:val="0"/>
        </w:rPr>
        <w:t xml:space="preserve">23. El 23 de setiembre de 2022, San Fernando absolvió el traslado de las apelaciones, indicando que los recursos de sus coimputadas ponen en evidencia que la Comisión incurrió en múltiples vicios de nulidad e, inclusive, omitió tomar en consideración los contraindicios que demuestran la inexistencia de una práctica hub &amp; spoke. Asimismo, presentó una matriz en la que resumió los principales argumentos presentados en el expediente que permitirían desvirtuar la teoría indicada por la Comisión. </w:t>
      </w:r>
    </w:p>
    <w:p w:rsidR="00000000" w:rsidDel="00000000" w:rsidP="00000000" w:rsidRDefault="00000000" w:rsidRPr="00000000" w14:paraId="00000067">
      <w:pPr>
        <w:widowControl w:val="0"/>
        <w:spacing w:after="0" w:line="360" w:lineRule="auto"/>
        <w:jc w:val="both"/>
        <w:rPr/>
      </w:pPr>
      <w:r w:rsidDel="00000000" w:rsidR="00000000" w:rsidRPr="00000000">
        <w:rPr>
          <w:rtl w:val="0"/>
        </w:rPr>
        <w:t xml:space="preserve">24. El 23 de setiembre de 2022, Tottus absolvió el traslado de las apelaciones, presentando argumentos adicionales relativos a la supuesta vulneración del principio de tipicidad por parte de la primera instancia. </w:t>
      </w:r>
    </w:p>
    <w:p w:rsidR="00000000" w:rsidDel="00000000" w:rsidP="00000000" w:rsidRDefault="00000000" w:rsidRPr="00000000" w14:paraId="00000068">
      <w:pPr>
        <w:widowControl w:val="0"/>
        <w:spacing w:after="0" w:line="360" w:lineRule="auto"/>
        <w:jc w:val="both"/>
        <w:rPr/>
      </w:pPr>
      <w:r w:rsidDel="00000000" w:rsidR="00000000" w:rsidRPr="00000000">
        <w:rPr>
          <w:rtl w:val="0"/>
        </w:rPr>
        <w:t xml:space="preserve">25. El 9 de febrero de 2023, Tottus presentó el documento denominado “Informe sobre la interpretación del concepto de prácticas colusorias horizontales inter marca sometidas a una prohibición absoluta por el TUO de la LRCA”, elaborado por Íñigo Sanz Rubiales. </w:t>
      </w:r>
    </w:p>
    <w:p w:rsidR="00000000" w:rsidDel="00000000" w:rsidP="00000000" w:rsidRDefault="00000000" w:rsidRPr="00000000" w14:paraId="00000069">
      <w:pPr>
        <w:widowControl w:val="0"/>
        <w:spacing w:after="0" w:line="360" w:lineRule="auto"/>
        <w:jc w:val="both"/>
        <w:rPr/>
      </w:pPr>
      <w:r w:rsidDel="00000000" w:rsidR="00000000" w:rsidRPr="00000000">
        <w:rPr>
          <w:rtl w:val="0"/>
        </w:rPr>
        <w:t xml:space="preserve">26. Posteriormente, el 12 de abril de 2023, Tottus presentó un nuevo escrito al que adjuntó el Dictamen Jurídico elaborado por Antonio Robles Martín-Laborda, denominado “Dictamen sobre la valoración, desde el punto de vista del Derecho de la Competencia, de determinadas conductas sancionadas mediante la Resolución 014-2022/CLC-INDECOPI”. </w:t>
      </w:r>
    </w:p>
    <w:p w:rsidR="00000000" w:rsidDel="00000000" w:rsidP="00000000" w:rsidRDefault="00000000" w:rsidRPr="00000000" w14:paraId="0000006A">
      <w:pPr>
        <w:widowControl w:val="0"/>
        <w:spacing w:after="0" w:line="360" w:lineRule="auto"/>
        <w:jc w:val="both"/>
        <w:rPr/>
      </w:pPr>
      <w:r w:rsidDel="00000000" w:rsidR="00000000" w:rsidRPr="00000000">
        <w:rPr>
          <w:rtl w:val="0"/>
        </w:rPr>
        <w:t xml:space="preserve">27. El 27 de abril de 2023 se llevó a cabo la audiencia de informe oral con la participación de la Secretaría Técnica de la Comisión y las apelantes, quienes reiteraron sus argumentos expuestos a lo largo del procedimiento. </w:t>
      </w:r>
    </w:p>
    <w:p w:rsidR="00000000" w:rsidDel="00000000" w:rsidP="00000000" w:rsidRDefault="00000000" w:rsidRPr="00000000" w14:paraId="0000006B">
      <w:pPr>
        <w:widowControl w:val="0"/>
        <w:spacing w:after="0" w:line="360" w:lineRule="auto"/>
        <w:jc w:val="both"/>
        <w:rPr/>
      </w:pPr>
      <w:r w:rsidDel="00000000" w:rsidR="00000000" w:rsidRPr="00000000">
        <w:rPr>
          <w:rtl w:val="0"/>
        </w:rPr>
        <w:t xml:space="preserve">28. El 3 y 8 de mayo de 2023, Cencosud, San Fernando, Tottus y Makro, respectivamente, presentaron sus alegatos y reiteraron sus argumentos expuestos durante el procedimiento. </w:t>
      </w:r>
    </w:p>
    <w:p w:rsidR="00000000" w:rsidDel="00000000" w:rsidP="00000000" w:rsidRDefault="00000000" w:rsidRPr="00000000" w14:paraId="0000006C">
      <w:pPr>
        <w:widowControl w:val="0"/>
        <w:spacing w:after="0" w:line="360" w:lineRule="auto"/>
        <w:jc w:val="both"/>
        <w:rPr/>
      </w:pPr>
      <w:r w:rsidDel="00000000" w:rsidR="00000000" w:rsidRPr="00000000">
        <w:rPr>
          <w:rtl w:val="0"/>
        </w:rPr>
        <w:t xml:space="preserve">29. El 5 de octubre de 2023, en vista de la designación del señor Hernando Montoya Alberti como vocal suplente a fin de completar el quorum necesario para la evaluación del presente caso, se llevó a cabo una nueva audiencia de informe oral con la participación de la Secretaría Técnica de la Comisión y las apelantes, quienes reiteraron sus argumentos expuestos a lo largo del procedimiento. </w:t>
      </w:r>
    </w:p>
    <w:p w:rsidR="00000000" w:rsidDel="00000000" w:rsidP="00000000" w:rsidRDefault="00000000" w:rsidRPr="00000000" w14:paraId="0000006D">
      <w:pPr>
        <w:widowControl w:val="0"/>
        <w:spacing w:after="0" w:line="360" w:lineRule="auto"/>
        <w:jc w:val="both"/>
        <w:rPr/>
      </w:pPr>
      <w:r w:rsidDel="00000000" w:rsidR="00000000" w:rsidRPr="00000000">
        <w:rPr>
          <w:rtl w:val="0"/>
        </w:rPr>
        <w:t xml:space="preserve">30. El 10, 11, 13 y 24 de octubre de 2023, Tottus, Cencosud, Makro, San Fernando y Supesa , respectivamente, presentaron sus alegatos y reiteraron sus argumentos expuestos durante el procedimiento. </w:t>
      </w:r>
    </w:p>
    <w:p w:rsidR="00000000" w:rsidDel="00000000" w:rsidP="00000000" w:rsidRDefault="00000000" w:rsidRPr="00000000" w14:paraId="0000006E">
      <w:pPr>
        <w:widowControl w:val="0"/>
        <w:spacing w:after="0" w:line="360" w:lineRule="auto"/>
        <w:jc w:val="both"/>
        <w:rPr/>
      </w:pPr>
      <w:r w:rsidDel="00000000" w:rsidR="00000000" w:rsidRPr="00000000">
        <w:rPr>
          <w:rtl w:val="0"/>
        </w:rPr>
        <w:t xml:space="preserve">II. CUESTIONES EN DISCUSIÓN </w:t>
      </w:r>
    </w:p>
    <w:p w:rsidR="00000000" w:rsidDel="00000000" w:rsidP="00000000" w:rsidRDefault="00000000" w:rsidRPr="00000000" w14:paraId="0000006F">
      <w:pPr>
        <w:widowControl w:val="0"/>
        <w:spacing w:after="0" w:line="360" w:lineRule="auto"/>
        <w:jc w:val="both"/>
        <w:rPr/>
      </w:pPr>
      <w:r w:rsidDel="00000000" w:rsidR="00000000" w:rsidRPr="00000000">
        <w:rPr>
          <w:rtl w:val="0"/>
        </w:rPr>
        <w:t xml:space="preserve">31. En atención a los antecedentes expuestos, corresponde a la Sala determinar lo siguiente: </w:t>
      </w:r>
    </w:p>
    <w:p w:rsidR="00000000" w:rsidDel="00000000" w:rsidP="00000000" w:rsidRDefault="00000000" w:rsidRPr="00000000" w14:paraId="00000070">
      <w:pPr>
        <w:widowControl w:val="0"/>
        <w:spacing w:after="0" w:line="360" w:lineRule="auto"/>
        <w:jc w:val="both"/>
        <w:rPr/>
      </w:pPr>
      <w:r w:rsidDel="00000000" w:rsidR="00000000" w:rsidRPr="00000000">
        <w:rPr>
          <w:rtl w:val="0"/>
        </w:rPr>
        <w:t xml:space="preserve">(i) si corresponde declarar la confidencialidad de la información presentada por Supesa en su escrito del 24 de octubre de 2023, referida a la propuesta de honorarios para las capacitaciones sobre la normativa de libre competencia a sus trabajadores para los años 2021, 2022 y 2023; </w:t>
      </w:r>
    </w:p>
    <w:p w:rsidR="00000000" w:rsidDel="00000000" w:rsidP="00000000" w:rsidRDefault="00000000" w:rsidRPr="00000000" w14:paraId="00000071">
      <w:pPr>
        <w:widowControl w:val="0"/>
        <w:spacing w:after="0" w:line="360" w:lineRule="auto"/>
        <w:jc w:val="both"/>
        <w:rPr/>
      </w:pPr>
      <w:r w:rsidDel="00000000" w:rsidR="00000000" w:rsidRPr="00000000">
        <w:rPr>
          <w:rtl w:val="0"/>
        </w:rPr>
        <w:t xml:space="preserve">(ii) si Cencosud, Makro, Supesa y Tottus incurrieron en una práctica colusoria horizontal en la modalidad de acuerdo para la fijación de precios, en el mercado de comercialización de pavo entero de la marca San Fernando a nivel nacional, entre los años 2009 y 2016; </w:t>
      </w:r>
    </w:p>
    <w:p w:rsidR="00000000" w:rsidDel="00000000" w:rsidP="00000000" w:rsidRDefault="00000000" w:rsidRPr="00000000" w14:paraId="00000072">
      <w:pPr>
        <w:widowControl w:val="0"/>
        <w:spacing w:after="0" w:line="360" w:lineRule="auto"/>
        <w:jc w:val="both"/>
        <w:rPr/>
      </w:pPr>
      <w:r w:rsidDel="00000000" w:rsidR="00000000" w:rsidRPr="00000000">
        <w:rPr>
          <w:rtl w:val="0"/>
        </w:rPr>
        <w:t xml:space="preserve">(iii) de ser el caso, si San Fernando actuó como facilitador de la conducta mencionada en el literal precedente, entre los años 2015 y 2016; y, </w:t>
      </w:r>
    </w:p>
    <w:p w:rsidR="00000000" w:rsidDel="00000000" w:rsidP="00000000" w:rsidRDefault="00000000" w:rsidRPr="00000000" w14:paraId="00000073">
      <w:pPr>
        <w:widowControl w:val="0"/>
        <w:spacing w:after="0" w:line="360" w:lineRule="auto"/>
        <w:jc w:val="both"/>
        <w:rPr/>
      </w:pPr>
      <w:r w:rsidDel="00000000" w:rsidR="00000000" w:rsidRPr="00000000">
        <w:rPr>
          <w:rtl w:val="0"/>
        </w:rPr>
        <w:t xml:space="preserve">(iv) de ser el caso, si corresponde confirmar la sanción y medida correctiva impuestas a las imputadas. </w:t>
      </w:r>
    </w:p>
    <w:p w:rsidR="00000000" w:rsidDel="00000000" w:rsidP="00000000" w:rsidRDefault="00000000" w:rsidRPr="00000000" w14:paraId="00000074">
      <w:pPr>
        <w:widowControl w:val="0"/>
        <w:spacing w:after="0" w:line="360" w:lineRule="auto"/>
        <w:jc w:val="both"/>
        <w:rPr/>
      </w:pPr>
      <w:r w:rsidDel="00000000" w:rsidR="00000000" w:rsidRPr="00000000">
        <w:rPr>
          <w:rtl w:val="0"/>
        </w:rPr>
        <w:t xml:space="preserve">III. ANÁLISIS DE LAS CUESTIONES EN DISCUSIÓN </w:t>
      </w:r>
    </w:p>
    <w:p w:rsidR="00000000" w:rsidDel="00000000" w:rsidP="00000000" w:rsidRDefault="00000000" w:rsidRPr="00000000" w14:paraId="00000075">
      <w:pPr>
        <w:widowControl w:val="0"/>
        <w:spacing w:after="0" w:line="360" w:lineRule="auto"/>
        <w:jc w:val="both"/>
        <w:rPr/>
      </w:pPr>
      <w:r w:rsidDel="00000000" w:rsidR="00000000" w:rsidRPr="00000000">
        <w:rPr>
          <w:rtl w:val="0"/>
        </w:rPr>
        <w:t xml:space="preserve">III.1. Sobre la solicitud de confidencialidad </w:t>
      </w:r>
    </w:p>
    <w:p w:rsidR="00000000" w:rsidDel="00000000" w:rsidP="00000000" w:rsidRDefault="00000000" w:rsidRPr="00000000" w14:paraId="00000076">
      <w:pPr>
        <w:widowControl w:val="0"/>
        <w:spacing w:after="0" w:line="360" w:lineRule="auto"/>
        <w:jc w:val="both"/>
        <w:rPr/>
      </w:pPr>
      <w:r w:rsidDel="00000000" w:rsidR="00000000" w:rsidRPr="00000000">
        <w:rPr>
          <w:rtl w:val="0"/>
        </w:rPr>
        <w:t xml:space="preserve">32. El numeral 35.1 del artículo 35 del TUO de la LRCA y el numeral 2.1 de la Directiva 001-2008/TRI-INDECOPI, Directiva sobre confidencialidad de la información en los procedimientos seguidos por los Órganos Funcionales del Indecopi36 (en adelante la Directiva 001-2008/TRI-INDECOPI) prevén que, a solicitud de parte o tercero con interés legítimo, se declarará la reserva de la información que tenga carácter confidencial. Esto, siempre que se trate de un secreto comercial o industrial, información que afecte la intimidad personal o familiar, o información de terceros cuya divulgación podría perjudicar a su titular y, en general, aquella información prevista como tal en el Texto Único Ordenado de la Ley 27806, Ley de Transparencia y Acceso a la Información Pública, aprobado por Decreto Supremo 021-2019-JUS. </w:t>
      </w:r>
    </w:p>
    <w:p w:rsidR="00000000" w:rsidDel="00000000" w:rsidP="00000000" w:rsidRDefault="00000000" w:rsidRPr="00000000" w14:paraId="00000077">
      <w:pPr>
        <w:widowControl w:val="0"/>
        <w:spacing w:after="0" w:line="360" w:lineRule="auto"/>
        <w:jc w:val="both"/>
        <w:rPr/>
      </w:pPr>
      <w:r w:rsidDel="00000000" w:rsidR="00000000" w:rsidRPr="00000000">
        <w:rPr>
          <w:rtl w:val="0"/>
        </w:rPr>
        <w:t xml:space="preserve">33. Por su parte, el numeral 35.4 del artículo 35 del TUO de la LRCA , concordado con el numeral 3.3 de la Directiva 001-2008/TRI-INDECOPI , señalan que para </w:t>
      </w:r>
    </w:p>
    <w:p w:rsidR="00000000" w:rsidDel="00000000" w:rsidP="00000000" w:rsidRDefault="00000000" w:rsidRPr="00000000" w14:paraId="00000078">
      <w:pPr>
        <w:widowControl w:val="0"/>
        <w:spacing w:after="0" w:line="360" w:lineRule="auto"/>
        <w:jc w:val="both"/>
        <w:rPr/>
      </w:pPr>
      <w:r w:rsidDel="00000000" w:rsidR="00000000" w:rsidRPr="00000000">
        <w:rPr>
          <w:rtl w:val="0"/>
        </w:rPr>
        <w:t xml:space="preserve">evaluar si una información tiene carácter confidencial es preciso determinar, en primer lugar, su pertinencia, esto es, su vinculación con el esclarecimiento de la controversia. Luego de ello, la confidencialidad dependerá de que se corroboren su no divulgación previa y la eventual afectación que podría causar que terceros (distintos al titular o los sujetos autorizados por este) accedan a tales datos. </w:t>
      </w:r>
    </w:p>
    <w:p w:rsidR="00000000" w:rsidDel="00000000" w:rsidP="00000000" w:rsidRDefault="00000000" w:rsidRPr="00000000" w14:paraId="00000079">
      <w:pPr>
        <w:widowControl w:val="0"/>
        <w:spacing w:after="0" w:line="360" w:lineRule="auto"/>
        <w:jc w:val="both"/>
        <w:rPr/>
      </w:pPr>
      <w:r w:rsidDel="00000000" w:rsidR="00000000" w:rsidRPr="00000000">
        <w:rPr>
          <w:rtl w:val="0"/>
        </w:rPr>
        <w:t xml:space="preserve">34. Los dos últimos aspectos se encuentran desarrollados en el numeral 35.1 del artículo 35 del TUO de la LRCA, que señala que la declaración de reserva sobre un secreto comercial o industrial será concedida por la autoridad, siempre que la información: </w:t>
      </w:r>
    </w:p>
    <w:p w:rsidR="00000000" w:rsidDel="00000000" w:rsidP="00000000" w:rsidRDefault="00000000" w:rsidRPr="00000000" w14:paraId="0000007A">
      <w:pPr>
        <w:widowControl w:val="0"/>
        <w:spacing w:after="0" w:line="360" w:lineRule="auto"/>
        <w:jc w:val="both"/>
        <w:rPr/>
      </w:pPr>
      <w:r w:rsidDel="00000000" w:rsidR="00000000" w:rsidRPr="00000000">
        <w:rPr>
          <w:rtl w:val="0"/>
        </w:rPr>
        <w:t xml:space="preserve">(i) se trate de un conocimiento que tenga carácter de reservado o privado, y verse sobre un objeto determinado; </w:t>
      </w:r>
    </w:p>
    <w:p w:rsidR="00000000" w:rsidDel="00000000" w:rsidP="00000000" w:rsidRDefault="00000000" w:rsidRPr="00000000" w14:paraId="0000007B">
      <w:pPr>
        <w:widowControl w:val="0"/>
        <w:spacing w:after="0" w:line="360" w:lineRule="auto"/>
        <w:jc w:val="both"/>
        <w:rPr/>
      </w:pPr>
      <w:r w:rsidDel="00000000" w:rsidR="00000000" w:rsidRPr="00000000">
        <w:rPr>
          <w:rtl w:val="0"/>
        </w:rPr>
        <w:t xml:space="preserve">(ii) sea un conocimiento que se mantiene en condición de reservado por decisión voluntaria e interés de los sujetos que tienen acceso a él, quienes han adoptado las medidas necesarias para mantener dicha información como tal; y, </w:t>
      </w:r>
    </w:p>
    <w:p w:rsidR="00000000" w:rsidDel="00000000" w:rsidP="00000000" w:rsidRDefault="00000000" w:rsidRPr="00000000" w14:paraId="0000007C">
      <w:pPr>
        <w:widowControl w:val="0"/>
        <w:spacing w:after="0" w:line="360" w:lineRule="auto"/>
        <w:jc w:val="both"/>
        <w:rPr/>
      </w:pPr>
      <w:r w:rsidDel="00000000" w:rsidR="00000000" w:rsidRPr="00000000">
        <w:rPr>
          <w:rtl w:val="0"/>
        </w:rPr>
        <w:t xml:space="preserve">(iii) tenga un valor comercial efectivo o potencial. </w:t>
      </w:r>
    </w:p>
    <w:p w:rsidR="00000000" w:rsidDel="00000000" w:rsidP="00000000" w:rsidRDefault="00000000" w:rsidRPr="00000000" w14:paraId="0000007D">
      <w:pPr>
        <w:widowControl w:val="0"/>
        <w:spacing w:after="0" w:line="360" w:lineRule="auto"/>
        <w:jc w:val="both"/>
        <w:rPr/>
      </w:pPr>
      <w:r w:rsidDel="00000000" w:rsidR="00000000" w:rsidRPr="00000000">
        <w:rPr>
          <w:rtl w:val="0"/>
        </w:rPr>
        <w:t xml:space="preserve">35. Conforme al primer requisito, la información debe versar sobre un objeto determinado, esto es, referirse a algún dato específico e identificable. Una vez individualizada la información y determinada su existencia, se podrá apreciar si es de naturaleza reservada, lo que supone analizar si está o no a disposición de terceros40. </w:t>
      </w:r>
    </w:p>
    <w:p w:rsidR="00000000" w:rsidDel="00000000" w:rsidP="00000000" w:rsidRDefault="00000000" w:rsidRPr="00000000" w14:paraId="0000007E">
      <w:pPr>
        <w:widowControl w:val="0"/>
        <w:spacing w:after="0" w:line="360" w:lineRule="auto"/>
        <w:jc w:val="both"/>
        <w:rPr/>
      </w:pPr>
      <w:r w:rsidDel="00000000" w:rsidR="00000000" w:rsidRPr="00000000">
        <w:rPr>
          <w:rtl w:val="0"/>
        </w:rPr>
        <w:t xml:space="preserve">36. De acuerdo con el segundo requisito, la información tendrá la calidad de reservada cuando no haya sido divulgada previamente a terceros no autorizados, sino preservada dentro del ámbito de conocimiento del titular y de las personas que hayan accedido a aquella con un deber de reserva. </w:t>
      </w:r>
    </w:p>
    <w:p w:rsidR="00000000" w:rsidDel="00000000" w:rsidP="00000000" w:rsidRDefault="00000000" w:rsidRPr="00000000" w14:paraId="0000007F">
      <w:pPr>
        <w:widowControl w:val="0"/>
        <w:spacing w:after="0" w:line="360" w:lineRule="auto"/>
        <w:jc w:val="both"/>
        <w:rPr/>
      </w:pPr>
      <w:r w:rsidDel="00000000" w:rsidR="00000000" w:rsidRPr="00000000">
        <w:rPr>
          <w:rtl w:val="0"/>
        </w:rPr>
        <w:t xml:space="preserve">37. Finalmente, la información reservada tendrá valor comercial efectivo o potencial cuando su utilización en régimen de secreto reporte un provecho patrimonial, por suponer para el empresario una ventaja frente a los competidores que lo desconocen. Así, el numeral 2.1 de la Directiva 001-2008/TRI-INDECOPI considera como secreto comercial a la información cuya importancia para el desarrollo de la actividad empresarial obliga a las empresas a mantenerla fuera del alcance de terceros ajenos41. </w:t>
      </w:r>
    </w:p>
    <w:p w:rsidR="00000000" w:rsidDel="00000000" w:rsidP="00000000" w:rsidRDefault="00000000" w:rsidRPr="00000000" w14:paraId="00000080">
      <w:pPr>
        <w:widowControl w:val="0"/>
        <w:spacing w:after="0" w:line="360" w:lineRule="auto"/>
        <w:jc w:val="both"/>
        <w:rPr/>
      </w:pPr>
      <w:r w:rsidDel="00000000" w:rsidR="00000000" w:rsidRPr="00000000">
        <w:rPr>
          <w:rtl w:val="0"/>
        </w:rPr>
        <w:t xml:space="preserve">III.2. Aplicación al presente caso </w:t>
      </w:r>
    </w:p>
    <w:p w:rsidR="00000000" w:rsidDel="00000000" w:rsidP="00000000" w:rsidRDefault="00000000" w:rsidRPr="00000000" w14:paraId="00000081">
      <w:pPr>
        <w:widowControl w:val="0"/>
        <w:spacing w:after="0" w:line="360" w:lineRule="auto"/>
        <w:jc w:val="both"/>
        <w:rPr/>
      </w:pPr>
      <w:r w:rsidDel="00000000" w:rsidR="00000000" w:rsidRPr="00000000">
        <w:rPr>
          <w:rtl w:val="0"/>
        </w:rPr>
        <w:t xml:space="preserve">38. Mediante su escrito del 24 de octubre de 2023, Supesa solicitó la confidencialidad de la información correspondiente a la propuesta de honorarios para las capacitaciones sobre la normativa de libre competencia a sus trabajadores para los años 2021, 2022 y 2023, contenidos en los anexos B, C y D de dicho escrito, respectivamente. Supesa sustentó su pedido en que tal información constituiría secreto comercial, pues se encuentra referida a información relevante acerca de la relación comercial sostenida con su proveedor, de conformidad con el numeral 2.3 de los Lineamientos de confidencialidad42. </w:t>
      </w:r>
    </w:p>
    <w:p w:rsidR="00000000" w:rsidDel="00000000" w:rsidP="00000000" w:rsidRDefault="00000000" w:rsidRPr="00000000" w14:paraId="00000082">
      <w:pPr>
        <w:widowControl w:val="0"/>
        <w:spacing w:after="0" w:line="360" w:lineRule="auto"/>
        <w:jc w:val="both"/>
        <w:rPr/>
      </w:pPr>
      <w:r w:rsidDel="00000000" w:rsidR="00000000" w:rsidRPr="00000000">
        <w:rPr>
          <w:rtl w:val="0"/>
        </w:rPr>
        <w:t xml:space="preserve">RESOLUCIÓN 27-2013/CLC-INDECOPI. LINEAMIENTOS SOBRE CONFIDENCIALIDAD DE LA COMISIÓN DE DEFENSA DE LA LIBRE COMPETENCIA </w:t>
      </w:r>
    </w:p>
    <w:p w:rsidR="00000000" w:rsidDel="00000000" w:rsidP="00000000" w:rsidRDefault="00000000" w:rsidRPr="00000000" w14:paraId="00000083">
      <w:pPr>
        <w:widowControl w:val="0"/>
        <w:spacing w:after="0" w:line="360" w:lineRule="auto"/>
        <w:jc w:val="both"/>
        <w:rPr/>
      </w:pPr>
      <w:r w:rsidDel="00000000" w:rsidR="00000000" w:rsidRPr="00000000">
        <w:rPr>
          <w:rtl w:val="0"/>
        </w:rPr>
        <w:t xml:space="preserve">ANEXO I CRITERIOS DE INTERPRETACIÓN SOBRE SOLICITUDES DE CONFIDENCIALIDAD </w:t>
      </w:r>
    </w:p>
    <w:p w:rsidR="00000000" w:rsidDel="00000000" w:rsidP="00000000" w:rsidRDefault="00000000" w:rsidRPr="00000000" w14:paraId="00000084">
      <w:pPr>
        <w:widowControl w:val="0"/>
        <w:spacing w:after="0" w:line="360" w:lineRule="auto"/>
        <w:jc w:val="both"/>
        <w:rPr/>
      </w:pPr>
      <w:r w:rsidDel="00000000" w:rsidR="00000000" w:rsidRPr="00000000">
        <w:rPr>
          <w:rtl w:val="0"/>
        </w:rPr>
        <w:t xml:space="preserve">Código Tipo de información M-SDC-02/02 Vigencia del Modelo: 2020-03-11 Confidencial Justificación </w:t>
      </w:r>
    </w:p>
    <w:p w:rsidR="00000000" w:rsidDel="00000000" w:rsidP="00000000" w:rsidRDefault="00000000" w:rsidRPr="00000000" w14:paraId="00000085">
      <w:pPr>
        <w:widowControl w:val="0"/>
        <w:spacing w:after="0" w:line="360" w:lineRule="auto"/>
        <w:jc w:val="both"/>
        <w:rPr/>
      </w:pPr>
      <w:r w:rsidDel="00000000" w:rsidR="00000000" w:rsidRPr="00000000">
        <w:rPr>
          <w:rtl w:val="0"/>
        </w:rPr>
        <w:t xml:space="preserve">39. Al respecto, el numeral 2.3 de los Lineamientos de confidencialidad señala que será considerada confidencial la información relevante acerca de la relación comercial sostenida entre un proveedor y su cliente y que permita a los competidores conocer la estructura de costos y las fuentes de aprovisionamiento de la empresa solicitante. </w:t>
      </w:r>
    </w:p>
    <w:p w:rsidR="00000000" w:rsidDel="00000000" w:rsidP="00000000" w:rsidRDefault="00000000" w:rsidRPr="00000000" w14:paraId="00000086">
      <w:pPr>
        <w:widowControl w:val="0"/>
        <w:spacing w:after="0" w:line="360" w:lineRule="auto"/>
        <w:jc w:val="both"/>
        <w:rPr/>
      </w:pPr>
      <w:r w:rsidDel="00000000" w:rsidR="00000000" w:rsidRPr="00000000">
        <w:rPr>
          <w:rtl w:val="0"/>
        </w:rPr>
        <w:t xml:space="preserve">40. De la revisión de tales anexos, se advierte que contienen las propuestas de honorarios por parte del proveedor de Supesa por los servicios de capacitación en materia de libre competencia, en los cuales se detallan los montos a pagar, indicaciones sobre los días de pago, la política de facturación del proveedor, la estructura de la capacitación ofrecida, entre otras condiciones comerciales. </w:t>
      </w:r>
    </w:p>
    <w:p w:rsidR="00000000" w:rsidDel="00000000" w:rsidP="00000000" w:rsidRDefault="00000000" w:rsidRPr="00000000" w14:paraId="00000087">
      <w:pPr>
        <w:widowControl w:val="0"/>
        <w:spacing w:after="0" w:line="360" w:lineRule="auto"/>
        <w:jc w:val="both"/>
        <w:rPr/>
      </w:pPr>
      <w:r w:rsidDel="00000000" w:rsidR="00000000" w:rsidRPr="00000000">
        <w:rPr>
          <w:rtl w:val="0"/>
        </w:rPr>
        <w:t xml:space="preserve">41. En tal sentido, teniendo en cuenta que dicha información revela los alcances de la relación comercial sostenida entre Supesa y su proveedor por el servicio de capacitaciones en materia de libre competencia para los años 2021, 2022 y 2023, se trata de información comercial que, de ser conocida por terceros, podría otorgarles una ventaja competitiva indebida. </w:t>
      </w:r>
    </w:p>
    <w:p w:rsidR="00000000" w:rsidDel="00000000" w:rsidP="00000000" w:rsidRDefault="00000000" w:rsidRPr="00000000" w14:paraId="00000088">
      <w:pPr>
        <w:widowControl w:val="0"/>
        <w:spacing w:after="0" w:line="360" w:lineRule="auto"/>
        <w:jc w:val="both"/>
        <w:rPr/>
      </w:pPr>
      <w:r w:rsidDel="00000000" w:rsidR="00000000" w:rsidRPr="00000000">
        <w:rPr>
          <w:rtl w:val="0"/>
        </w:rPr>
        <w:t xml:space="preserve">42. De esta manera, la referida información cumple con lo dispuesto en el artículo 35 del TUO de la LRCA para ser declarada confidencial43; en tanto, (i) versa sobre un objeto determinado (Anexos B, C y D del escrito presentado por Supesa el 24 de octubre de 2023); (ii) se trata de información que no se advierte que haya sido revelada previamente por Supesa; y, (iii) tiene un valor comercial. Por consiguiente y en atención a lo previsto en el numeral 2.3 de los Lineamientos de confidencialidad, tal información tiene carácter confidencial. </w:t>
      </w:r>
    </w:p>
    <w:p w:rsidR="00000000" w:rsidDel="00000000" w:rsidP="00000000" w:rsidRDefault="00000000" w:rsidRPr="00000000" w14:paraId="00000089">
      <w:pPr>
        <w:widowControl w:val="0"/>
        <w:spacing w:after="0" w:line="360" w:lineRule="auto"/>
        <w:jc w:val="both"/>
        <w:rPr/>
      </w:pPr>
      <w:r w:rsidDel="00000000" w:rsidR="00000000" w:rsidRPr="00000000">
        <w:rPr>
          <w:rtl w:val="0"/>
        </w:rPr>
        <w:t xml:space="preserve">43. En base a lo antes expuesto, corresponde declarar la reserva y confidencialidad de la información presentada por Supesa en su escrito del 24 de octubre de 2023, referida a la propuesta de honorarios para las capacitaciones sobre la normativa de libre competencia a sus trabajadores para los años 2021, 2022 y 2023, contenidos en los anexos B, C y D de dicho escrito, respectivamente. </w:t>
      </w:r>
    </w:p>
    <w:p w:rsidR="00000000" w:rsidDel="00000000" w:rsidP="00000000" w:rsidRDefault="00000000" w:rsidRPr="00000000" w14:paraId="0000008A">
      <w:pPr>
        <w:widowControl w:val="0"/>
        <w:spacing w:after="0" w:line="360" w:lineRule="auto"/>
        <w:jc w:val="both"/>
        <w:rPr/>
      </w:pPr>
      <w:r w:rsidDel="00000000" w:rsidR="00000000" w:rsidRPr="00000000">
        <w:rPr>
          <w:rtl w:val="0"/>
        </w:rPr>
        <w:t xml:space="preserve">44. Mediante la Resolución Final, la Comisión determinó que los autoservicios incurrieron en una práctica colusoria horizontal en la modalidad de acuerdo para la fijación de precios en el mercado de comercialización de pavo entero San </w:t>
      </w:r>
    </w:p>
    <w:p w:rsidR="00000000" w:rsidDel="00000000" w:rsidP="00000000" w:rsidRDefault="00000000" w:rsidRPr="00000000" w14:paraId="0000008B">
      <w:pPr>
        <w:widowControl w:val="0"/>
        <w:spacing w:after="0" w:line="360" w:lineRule="auto"/>
        <w:jc w:val="both"/>
        <w:rPr/>
      </w:pPr>
      <w:r w:rsidDel="00000000" w:rsidR="00000000" w:rsidRPr="00000000">
        <w:rPr>
          <w:rtl w:val="0"/>
        </w:rPr>
        <w:t xml:space="preserve">Fernando a nivel nacional, de acuerdo con lo detallado en el literal (i) del numeral 14 de la presente resolución. Asimismo, la Comisión declaró que San Fernando participó como planificador, intermediario o facilitador de dicha práctica colusoria horizontal en los años 2015 y 2016 . </w:t>
      </w:r>
    </w:p>
    <w:p w:rsidR="00000000" w:rsidDel="00000000" w:rsidP="00000000" w:rsidRDefault="00000000" w:rsidRPr="00000000" w14:paraId="0000008C">
      <w:pPr>
        <w:widowControl w:val="0"/>
        <w:spacing w:after="0" w:line="360" w:lineRule="auto"/>
        <w:jc w:val="both"/>
        <w:rPr/>
      </w:pPr>
      <w:r w:rsidDel="00000000" w:rsidR="00000000" w:rsidRPr="00000000">
        <w:rPr>
          <w:rtl w:val="0"/>
        </w:rPr>
        <w:t xml:space="preserve">45. A criterio de la Comisión, los autoservicios acordaron -bajo el esquema hub &amp; spoke- el respeto de un PVPms en la comercialización de pavo entero marca San Fernando en las campañas navideñas del período investigado, fungiendo San Fernando como facilitador de tal conducta. </w:t>
      </w:r>
    </w:p>
    <w:p w:rsidR="00000000" w:rsidDel="00000000" w:rsidP="00000000" w:rsidRDefault="00000000" w:rsidRPr="00000000" w14:paraId="0000008D">
      <w:pPr>
        <w:widowControl w:val="0"/>
        <w:spacing w:after="0" w:line="360" w:lineRule="auto"/>
        <w:jc w:val="both"/>
        <w:rPr/>
      </w:pPr>
      <w:r w:rsidDel="00000000" w:rsidR="00000000" w:rsidRPr="00000000">
        <w:rPr>
          <w:rtl w:val="0"/>
        </w:rPr>
        <w:t xml:space="preserve">46. Cabe tener en cuenta que, en su apelación, San Fernando señaló que las acciones que ejecutó a fin de que el PVPms sea respetado, denotaría la existencia de un escenario de fijación de precios de reventa o RPM. </w:t>
      </w:r>
    </w:p>
    <w:p w:rsidR="00000000" w:rsidDel="00000000" w:rsidP="00000000" w:rsidRDefault="00000000" w:rsidRPr="00000000" w14:paraId="0000008E">
      <w:pPr>
        <w:widowControl w:val="0"/>
        <w:spacing w:after="0" w:line="360" w:lineRule="auto"/>
        <w:jc w:val="both"/>
        <w:rPr/>
      </w:pPr>
      <w:r w:rsidDel="00000000" w:rsidR="00000000" w:rsidRPr="00000000">
        <w:rPr>
          <w:rtl w:val="0"/>
        </w:rPr>
        <w:t xml:space="preserve">47. Por su parte, Makro sostuvo que la conducta imputada podría ser calificada como una restricción vertical bajo la modalidad de "mantenimiento de precios de reventa (RPM)”, en la medida que existía una dependencia total de su empresa hacia San Fernando y, como consecuencia, esta última mantenía un poder importante de negociación frente a sus distribuidores de pavo. En dicha línea, señaló que la supuesta independencia de los autoservicios para establecer los precios de venta al público (PVP) difería de la realidad, pues a pesar de que el PVPms establecido por San Fernando no era obligatorio, en la práctica, los autoservicios sí se vieron constreñidos a mantener tales precios. </w:t>
      </w:r>
    </w:p>
    <w:p w:rsidR="00000000" w:rsidDel="00000000" w:rsidP="00000000" w:rsidRDefault="00000000" w:rsidRPr="00000000" w14:paraId="0000008F">
      <w:pPr>
        <w:widowControl w:val="0"/>
        <w:spacing w:after="0" w:line="360" w:lineRule="auto"/>
        <w:jc w:val="both"/>
        <w:rPr/>
      </w:pPr>
      <w:r w:rsidDel="00000000" w:rsidR="00000000" w:rsidRPr="00000000">
        <w:rPr>
          <w:rtl w:val="0"/>
        </w:rPr>
        <w:t xml:space="preserve">48. Del mismo modo, Tottus alegó que la conducta imputada podría ser calificada como una restricción vertical. Además, indicó que los argumentos expuestos por la Comisión para no tomar en cuenta los criterios establecidos por la jurisprudencia  internacional con relación a la evaluación de prácticas bajo la modalidad de hub &amp; spoke son insuficientes; conllevando una vulneración de los principios de predictibilidad y confianza legítima. </w:t>
      </w:r>
    </w:p>
    <w:p w:rsidR="00000000" w:rsidDel="00000000" w:rsidP="00000000" w:rsidRDefault="00000000" w:rsidRPr="00000000" w14:paraId="00000090">
      <w:pPr>
        <w:widowControl w:val="0"/>
        <w:spacing w:after="0" w:line="360" w:lineRule="auto"/>
        <w:jc w:val="both"/>
        <w:rPr/>
      </w:pPr>
      <w:r w:rsidDel="00000000" w:rsidR="00000000" w:rsidRPr="00000000">
        <w:rPr>
          <w:rtl w:val="0"/>
        </w:rPr>
        <w:t xml:space="preserve">49. Tomando en cuenta los argumentos invocados por las partes y con la finalidad de esclarecer la conducta analizada, la Sala considera conveniente evaluar el marco teórico sobre restricciones verticales y prácticas colusorias horizontales (en particular aquella referida a la modalidad hub &amp; spoke), así como la jurisprudencia comparada, para luego evaluar si los hechos investigados configurarían la conducta imputada en el presente procedimiento o si configurarían una conducta distinta, como refieren los recurrentes. </w:t>
      </w:r>
    </w:p>
    <w:p w:rsidR="00000000" w:rsidDel="00000000" w:rsidP="00000000" w:rsidRDefault="00000000" w:rsidRPr="00000000" w14:paraId="00000091">
      <w:pPr>
        <w:widowControl w:val="0"/>
        <w:spacing w:after="0" w:line="360" w:lineRule="auto"/>
        <w:jc w:val="both"/>
        <w:rPr/>
      </w:pPr>
      <w:r w:rsidDel="00000000" w:rsidR="00000000" w:rsidRPr="00000000">
        <w:rPr>
          <w:rtl w:val="0"/>
        </w:rPr>
        <w:t xml:space="preserve">A. Sobre las restricciones verticales </w:t>
      </w:r>
    </w:p>
    <w:p w:rsidR="00000000" w:rsidDel="00000000" w:rsidP="00000000" w:rsidRDefault="00000000" w:rsidRPr="00000000" w14:paraId="00000092">
      <w:pPr>
        <w:widowControl w:val="0"/>
        <w:spacing w:after="0" w:line="360" w:lineRule="auto"/>
        <w:jc w:val="both"/>
        <w:rPr/>
      </w:pPr>
      <w:r w:rsidDel="00000000" w:rsidR="00000000" w:rsidRPr="00000000">
        <w:rPr>
          <w:rtl w:val="0"/>
        </w:rPr>
        <w:t xml:space="preserve">50. En diversos mercados, las empresas no comercializan directamente sus productos a los consumidores finales, sino que llegan a ellos mediante distribuidores, mayoristas o minoristas. Así, es habitual que estas empresas que realizan actividades en distintos niveles de la cadena de valor celebren acuerdos entre sí para operar en el mercado. Estos acuerdos y disposiciones contractuales entre empresas relacionadas verticalmente pueden restringir las condiciones en las que compran, venden o revenden bienes o servicios en el mercado, por lo que se denominan restricciones verticales46. </w:t>
      </w:r>
    </w:p>
    <w:p w:rsidR="00000000" w:rsidDel="00000000" w:rsidP="00000000" w:rsidRDefault="00000000" w:rsidRPr="00000000" w14:paraId="00000093">
      <w:pPr>
        <w:widowControl w:val="0"/>
        <w:spacing w:after="0" w:line="360" w:lineRule="auto"/>
        <w:jc w:val="both"/>
        <w:rPr/>
      </w:pPr>
      <w:r w:rsidDel="00000000" w:rsidR="00000000" w:rsidRPr="00000000">
        <w:rPr>
          <w:rtl w:val="0"/>
        </w:rPr>
        <w:t xml:space="preserve">51. De este modo, las restricciones verticales se definen como aquellos acuerdos o convenios entre empresas que operan en diferentes niveles de la cadena de producción, que restringen las condiciones bajo las cuales los contratantes pueden comprar, vender o revender un bien o servicio47. </w:t>
      </w:r>
    </w:p>
    <w:p w:rsidR="00000000" w:rsidDel="00000000" w:rsidP="00000000" w:rsidRDefault="00000000" w:rsidRPr="00000000" w14:paraId="00000094">
      <w:pPr>
        <w:widowControl w:val="0"/>
        <w:spacing w:after="0" w:line="360" w:lineRule="auto"/>
        <w:jc w:val="both"/>
        <w:rPr/>
      </w:pPr>
      <w:r w:rsidDel="00000000" w:rsidR="00000000" w:rsidRPr="00000000">
        <w:rPr>
          <w:rtl w:val="0"/>
        </w:rPr>
        <w:t xml:space="preserve">52. En el ámbito de la Unión Europea, las Directrices referidas a las Restricciones Verticales establecen sobre el particular lo siguiente: “Los acuerdos o prácticas </w:t>
      </w:r>
    </w:p>
    <w:p w:rsidR="00000000" w:rsidDel="00000000" w:rsidP="00000000" w:rsidRDefault="00000000" w:rsidRPr="00000000" w14:paraId="00000095">
      <w:pPr>
        <w:widowControl w:val="0"/>
        <w:spacing w:after="0" w:line="360" w:lineRule="auto"/>
        <w:jc w:val="both"/>
        <w:rPr/>
      </w:pPr>
      <w:r w:rsidDel="00000000" w:rsidR="00000000" w:rsidRPr="00000000">
        <w:rPr>
          <w:rtl w:val="0"/>
        </w:rPr>
        <w:t xml:space="preserve">concertadas, suscritos entre dos o más empresas que operen, a efectos del acuerdo o de la práctica concertada, en planos distintos de la cadena de producción o distribución y que se refieran a las condiciones en las que las partes pueden adquirir, vender o revender determinados bienes o servicios”. </w:t>
      </w:r>
    </w:p>
    <w:p w:rsidR="00000000" w:rsidDel="00000000" w:rsidP="00000000" w:rsidRDefault="00000000" w:rsidRPr="00000000" w14:paraId="00000096">
      <w:pPr>
        <w:widowControl w:val="0"/>
        <w:spacing w:after="0" w:line="360" w:lineRule="auto"/>
        <w:jc w:val="both"/>
        <w:rPr/>
      </w:pPr>
      <w:r w:rsidDel="00000000" w:rsidR="00000000" w:rsidRPr="00000000">
        <w:rPr>
          <w:rtl w:val="0"/>
        </w:rPr>
        <w:t xml:space="preserve">53. De acuerdo con Motta (2004), la motivación principal para establecer estas restricciones es que un proveedor y un retailer realizan diferentes acciones para </w:t>
      </w:r>
    </w:p>
    <w:p w:rsidR="00000000" w:rsidDel="00000000" w:rsidP="00000000" w:rsidRDefault="00000000" w:rsidRPr="00000000" w14:paraId="00000097">
      <w:pPr>
        <w:widowControl w:val="0"/>
        <w:spacing w:after="0" w:line="360" w:lineRule="auto"/>
        <w:jc w:val="both"/>
        <w:rPr/>
      </w:pPr>
      <w:r w:rsidDel="00000000" w:rsidR="00000000" w:rsidRPr="00000000">
        <w:rPr>
          <w:rtl w:val="0"/>
        </w:rPr>
        <w:t xml:space="preserve">maximizar sus propios beneficios, es decir, cuentan con incentivos diferentes, generando externalidades entre ellos. Con la finalidad de tener un control de dichas externalidades y que se puedan alinear los incentivos, estos agentes suelen emplear contratos o cláusulas, denominadas restricciones verticales. </w:t>
      </w:r>
    </w:p>
    <w:p w:rsidR="00000000" w:rsidDel="00000000" w:rsidP="00000000" w:rsidRDefault="00000000" w:rsidRPr="00000000" w14:paraId="00000098">
      <w:pPr>
        <w:widowControl w:val="0"/>
        <w:spacing w:after="0" w:line="360" w:lineRule="auto"/>
        <w:jc w:val="both"/>
        <w:rPr/>
      </w:pPr>
      <w:r w:rsidDel="00000000" w:rsidR="00000000" w:rsidRPr="00000000">
        <w:rPr>
          <w:rtl w:val="0"/>
        </w:rPr>
        <w:t xml:space="preserve">54. Según la teoría económica y la jurisprudencia, las restricciones verticales pueden afectar la competencia intra marca y/o la competencia inter marca. El tipo de competencia afectada dependerá de la conducta bajo evaluación, de modo que esta podría tener efectos tanto en el mercado aguas arriba como en el mercado aguas abajo. </w:t>
      </w:r>
    </w:p>
    <w:p w:rsidR="00000000" w:rsidDel="00000000" w:rsidP="00000000" w:rsidRDefault="00000000" w:rsidRPr="00000000" w14:paraId="00000099">
      <w:pPr>
        <w:widowControl w:val="0"/>
        <w:spacing w:after="0" w:line="360" w:lineRule="auto"/>
        <w:jc w:val="both"/>
        <w:rPr/>
      </w:pPr>
      <w:r w:rsidDel="00000000" w:rsidR="00000000" w:rsidRPr="00000000">
        <w:rPr>
          <w:rtl w:val="0"/>
        </w:rPr>
        <w:t xml:space="preserve">Gráfico 1: Diferencia entre tipos de afectación en las restricciones verticales </w:t>
      </w:r>
    </w:p>
    <w:p w:rsidR="00000000" w:rsidDel="00000000" w:rsidP="00000000" w:rsidRDefault="00000000" w:rsidRPr="00000000" w14:paraId="0000009A">
      <w:pPr>
        <w:widowControl w:val="0"/>
        <w:spacing w:after="0" w:line="360" w:lineRule="auto"/>
        <w:jc w:val="both"/>
        <w:rPr/>
      </w:pPr>
      <w:r w:rsidDel="00000000" w:rsidR="00000000" w:rsidRPr="00000000">
        <w:rPr>
          <w:rtl w:val="0"/>
        </w:rPr>
        <w:t xml:space="preserve">(Gráfico)</w:t>
      </w:r>
    </w:p>
    <w:p w:rsidR="00000000" w:rsidDel="00000000" w:rsidP="00000000" w:rsidRDefault="00000000" w:rsidRPr="00000000" w14:paraId="0000009B">
      <w:pPr>
        <w:widowControl w:val="0"/>
        <w:spacing w:after="0" w:line="360" w:lineRule="auto"/>
        <w:jc w:val="both"/>
        <w:rPr/>
      </w:pPr>
      <w:r w:rsidDel="00000000" w:rsidR="00000000" w:rsidRPr="00000000">
        <w:rPr>
          <w:rtl w:val="0"/>
        </w:rPr>
        <w:t xml:space="preserve">55. Conforme a las Directrices referidas a las Restricciones Verticales de la Comisión Europea, las restricciones verticales pueden generar consecuencias negativas para el mercado, tales como: </w:t>
      </w:r>
    </w:p>
    <w:p w:rsidR="00000000" w:rsidDel="00000000" w:rsidP="00000000" w:rsidRDefault="00000000" w:rsidRPr="00000000" w14:paraId="0000009C">
      <w:pPr>
        <w:widowControl w:val="0"/>
        <w:spacing w:after="0" w:line="360" w:lineRule="auto"/>
        <w:jc w:val="both"/>
        <w:rPr/>
      </w:pPr>
      <w:r w:rsidDel="00000000" w:rsidR="00000000" w:rsidRPr="00000000">
        <w:rPr>
          <w:rtl w:val="0"/>
        </w:rPr>
        <w:t xml:space="preserve">(i) excluir a otros proveedores o compradores mediante el incremento de barreras de acceso al mercado; </w:t>
      </w:r>
    </w:p>
    <w:p w:rsidR="00000000" w:rsidDel="00000000" w:rsidP="00000000" w:rsidRDefault="00000000" w:rsidRPr="00000000" w14:paraId="0000009D">
      <w:pPr>
        <w:widowControl w:val="0"/>
        <w:spacing w:after="0" w:line="360" w:lineRule="auto"/>
        <w:jc w:val="both"/>
        <w:rPr/>
      </w:pPr>
      <w:r w:rsidDel="00000000" w:rsidR="00000000" w:rsidRPr="00000000">
        <w:rPr>
          <w:rtl w:val="0"/>
        </w:rPr>
        <w:t xml:space="preserve">(ii) reducir la competencia entre el proveedor y sus competidores, además de facilitar conductas colusivas (explícitas o tácitas) entre tales agentes; (iii) reducir la competencia entre el comprador y sus competidores, además de facilitar conductas colusivas (explícitas o tácitas) entre tales agentes; y, (iv) crear obstáculos para la integración de mercados (de ser el caso). </w:t>
      </w:r>
    </w:p>
    <w:p w:rsidR="00000000" w:rsidDel="00000000" w:rsidP="00000000" w:rsidRDefault="00000000" w:rsidRPr="00000000" w14:paraId="0000009E">
      <w:pPr>
        <w:widowControl w:val="0"/>
        <w:spacing w:after="0" w:line="360" w:lineRule="auto"/>
        <w:jc w:val="both"/>
        <w:rPr/>
      </w:pPr>
      <w:r w:rsidDel="00000000" w:rsidR="00000000" w:rsidRPr="00000000">
        <w:rPr>
          <w:rtl w:val="0"/>
        </w:rPr>
        <w:t xml:space="preserve">56. Si bien las restricciones verticales pueden limitar la competencia, también pueden ser pro-competitivas, en tanto permitan incrementar la eficiencia productiva (reducir costos de las empresas) y la eficiencia asignativa (trasladar beneficios a los consumidores finales)51. Precisamente, las Directrices referidas a las Restricciones Verticales de la Comisión Europea señalan algunos de los efectos positivos de las restricciones verticales, como el fomento de la competencia en aspectos diferentes al precio y la mejor calidad de servicios. Asimismo, de acuerdo con dicho documento, las restricciones verticales pueden permitir internalizar externalidades que surgen en las relaciones entre empresas52, así como incrementar el beneficio conjunto de las empresas (que participan en la cadena vertical de suministro y distribución) y, en determinadas circunstancias, incrementar el bienestar de los consumidores. </w:t>
      </w:r>
    </w:p>
    <w:p w:rsidR="00000000" w:rsidDel="00000000" w:rsidP="00000000" w:rsidRDefault="00000000" w:rsidRPr="00000000" w14:paraId="0000009F">
      <w:pPr>
        <w:widowControl w:val="0"/>
        <w:spacing w:after="0" w:line="360" w:lineRule="auto"/>
        <w:jc w:val="both"/>
        <w:rPr/>
      </w:pPr>
      <w:r w:rsidDel="00000000" w:rsidR="00000000" w:rsidRPr="00000000">
        <w:rPr>
          <w:rtl w:val="0"/>
        </w:rPr>
        <w:t xml:space="preserve">57. En efecto, tanto las Directrices referidas a las Restricciones Verticales de la Comisión Europea, como algunos autores , señalan algunas justificaciones para las restricciones verticales en función a los problemas que permitirían resolver u objetivos que podrían alcanzarse a través de estos, como los siguientes: </w:t>
      </w:r>
    </w:p>
    <w:p w:rsidR="00000000" w:rsidDel="00000000" w:rsidP="00000000" w:rsidRDefault="00000000" w:rsidRPr="00000000" w14:paraId="000000A0">
      <w:pPr>
        <w:widowControl w:val="0"/>
        <w:spacing w:after="0" w:line="360" w:lineRule="auto"/>
        <w:jc w:val="both"/>
        <w:rPr/>
      </w:pPr>
      <w:r w:rsidDel="00000000" w:rsidR="00000000" w:rsidRPr="00000000">
        <w:rPr>
          <w:rtl w:val="0"/>
        </w:rPr>
        <w:t xml:space="preserve">(i) Resolver el problema de la doble marginalización, el cual se presenta cuando tanto el productor como el distribuidor cuentan con tal poder de mercado que el precio final del producto termina siendo muy alto, de modo que a través de la imposición del precio por parte del productor (restricción vertical) se busca que el precio minorista sea más bajo. </w:t>
      </w:r>
    </w:p>
    <w:p w:rsidR="00000000" w:rsidDel="00000000" w:rsidP="00000000" w:rsidRDefault="00000000" w:rsidRPr="00000000" w14:paraId="000000A1">
      <w:pPr>
        <w:widowControl w:val="0"/>
        <w:spacing w:after="0" w:line="360" w:lineRule="auto"/>
        <w:jc w:val="both"/>
        <w:rPr/>
      </w:pPr>
      <w:r w:rsidDel="00000000" w:rsidR="00000000" w:rsidRPr="00000000">
        <w:rPr>
          <w:rtl w:val="0"/>
        </w:rPr>
        <w:t xml:space="preserve">(ii) Resolver el problema del parasitismo o free-riding, el cual se podría presentar, por ejemplo, ante la presencia de inversiones específicas necesarias para ampliar o introducirse en nuevos mercados, lo cual se podría lograr con algún tipo de exclusividad para que dicho distribuidor recupere sus inversiones. </w:t>
      </w:r>
    </w:p>
    <w:p w:rsidR="00000000" w:rsidDel="00000000" w:rsidP="00000000" w:rsidRDefault="00000000" w:rsidRPr="00000000" w14:paraId="000000A2">
      <w:pPr>
        <w:widowControl w:val="0"/>
        <w:spacing w:after="0" w:line="360" w:lineRule="auto"/>
        <w:jc w:val="both"/>
        <w:rPr/>
      </w:pPr>
      <w:r w:rsidDel="00000000" w:rsidR="00000000" w:rsidRPr="00000000">
        <w:rPr>
          <w:rtl w:val="0"/>
        </w:rPr>
        <w:t xml:space="preserve">(iii) Lograr economías de escala en la distribución, que se trasladen a un precio minorista inferior, lo cual podría justificar una distribución exclusiva o la imposición de cantidades a través de requisitos de compra mínima. </w:t>
      </w:r>
    </w:p>
    <w:p w:rsidR="00000000" w:rsidDel="00000000" w:rsidP="00000000" w:rsidRDefault="00000000" w:rsidRPr="00000000" w14:paraId="000000A3">
      <w:pPr>
        <w:widowControl w:val="0"/>
        <w:spacing w:after="0" w:line="360" w:lineRule="auto"/>
        <w:jc w:val="both"/>
        <w:rPr/>
      </w:pPr>
      <w:r w:rsidDel="00000000" w:rsidR="00000000" w:rsidRPr="00000000">
        <w:rPr>
          <w:rtl w:val="0"/>
        </w:rPr>
        <w:t xml:space="preserve">(iv) Garantizar la uniformidad y la normalización de la calidad, lo cual podría justificar la imposición a los distribuidores un cierto grado de uniformidad y normalización de la calidad (por ejemplo, a través de la distribución selectiva o la franquicia), a fin de proteger la reputación de la marca. </w:t>
      </w:r>
    </w:p>
    <w:p w:rsidR="00000000" w:rsidDel="00000000" w:rsidP="00000000" w:rsidRDefault="00000000" w:rsidRPr="00000000" w14:paraId="000000A4">
      <w:pPr>
        <w:widowControl w:val="0"/>
        <w:spacing w:after="0" w:line="360" w:lineRule="auto"/>
        <w:jc w:val="both"/>
        <w:rPr/>
      </w:pPr>
      <w:r w:rsidDel="00000000" w:rsidR="00000000" w:rsidRPr="00000000">
        <w:rPr>
          <w:rtl w:val="0"/>
        </w:rPr>
        <w:t xml:space="preserve">58. Algunos de los principales tipos de restricciones verticales referidos por la Organización para la Cooperación y el Desarrollo Económico (la OECD ) son los siguientes: </w:t>
      </w:r>
    </w:p>
    <w:p w:rsidR="00000000" w:rsidDel="00000000" w:rsidP="00000000" w:rsidRDefault="00000000" w:rsidRPr="00000000" w14:paraId="000000A5">
      <w:pPr>
        <w:widowControl w:val="0"/>
        <w:spacing w:after="0" w:line="360" w:lineRule="auto"/>
        <w:jc w:val="both"/>
        <w:rPr/>
      </w:pPr>
      <w:r w:rsidDel="00000000" w:rsidR="00000000" w:rsidRPr="00000000">
        <w:rPr>
          <w:rtl w:val="0"/>
        </w:rPr>
        <w:t xml:space="preserve">(i) Trato exclusivo: los distribuidores se comprometen a no vender productos de otros fabricantes. </w:t>
      </w:r>
    </w:p>
    <w:p w:rsidR="00000000" w:rsidDel="00000000" w:rsidP="00000000" w:rsidRDefault="00000000" w:rsidRPr="00000000" w14:paraId="000000A6">
      <w:pPr>
        <w:widowControl w:val="0"/>
        <w:spacing w:after="0" w:line="360" w:lineRule="auto"/>
        <w:jc w:val="both"/>
        <w:rPr/>
      </w:pPr>
      <w:r w:rsidDel="00000000" w:rsidR="00000000" w:rsidRPr="00000000">
        <w:rPr>
          <w:rtl w:val="0"/>
        </w:rPr>
        <w:t xml:space="preserve">(ii) Distribución exclusiva: a cada distribuidor se le asigna un territorio específico o un grupo concreto de clientes a los que puede vender sus productos. </w:t>
      </w:r>
    </w:p>
    <w:p w:rsidR="00000000" w:rsidDel="00000000" w:rsidP="00000000" w:rsidRDefault="00000000" w:rsidRPr="00000000" w14:paraId="000000A7">
      <w:pPr>
        <w:widowControl w:val="0"/>
        <w:spacing w:after="0" w:line="360" w:lineRule="auto"/>
        <w:jc w:val="both"/>
        <w:rPr/>
      </w:pPr>
      <w:r w:rsidDel="00000000" w:rsidR="00000000" w:rsidRPr="00000000">
        <w:rPr>
          <w:rtl w:val="0"/>
        </w:rPr>
        <w:t xml:space="preserve">(iii) Mantenimiento del precio de reventa (RPM): un minorista se compromete a cobrar un determinado precio. Este compromiso puede consistir en: (a) no aumentar el precio más allá del indicado por el fabricante (RPM máximo); (b) asignar a un producto un precio igual al precio indicado por el fabricante (RPM fijo); (c) no reducir el precio por debajo del precio indicado por el fabricante (RPM mínimo). </w:t>
      </w:r>
    </w:p>
    <w:p w:rsidR="00000000" w:rsidDel="00000000" w:rsidP="00000000" w:rsidRDefault="00000000" w:rsidRPr="00000000" w14:paraId="000000A8">
      <w:pPr>
        <w:widowControl w:val="0"/>
        <w:spacing w:after="0" w:line="360" w:lineRule="auto"/>
        <w:jc w:val="both"/>
        <w:rPr/>
      </w:pPr>
      <w:r w:rsidDel="00000000" w:rsidR="00000000" w:rsidRPr="00000000">
        <w:rPr>
          <w:rtl w:val="0"/>
        </w:rPr>
        <w:t xml:space="preserve">(iv) Cláusulas de no competencia: acuerdo que restringe en la práctica la capacidad del comprador para fabricar, comprar, vender o revender productos que compiten con los del proveedor. </w:t>
      </w:r>
    </w:p>
    <w:p w:rsidR="00000000" w:rsidDel="00000000" w:rsidP="00000000" w:rsidRDefault="00000000" w:rsidRPr="00000000" w14:paraId="000000A9">
      <w:pPr>
        <w:widowControl w:val="0"/>
        <w:spacing w:after="0" w:line="360" w:lineRule="auto"/>
        <w:jc w:val="both"/>
        <w:rPr/>
      </w:pPr>
      <w:r w:rsidDel="00000000" w:rsidR="00000000" w:rsidRPr="00000000">
        <w:rPr>
          <w:rtl w:val="0"/>
        </w:rPr>
        <w:t xml:space="preserve">(v) Compra exclusiva/marca única: obligación de un comprador de adquirir los productos en cuestión a un solo proveedor. </w:t>
      </w:r>
    </w:p>
    <w:p w:rsidR="00000000" w:rsidDel="00000000" w:rsidP="00000000" w:rsidRDefault="00000000" w:rsidRPr="00000000" w14:paraId="000000AA">
      <w:pPr>
        <w:widowControl w:val="0"/>
        <w:spacing w:after="0" w:line="360" w:lineRule="auto"/>
        <w:jc w:val="both"/>
        <w:rPr/>
      </w:pPr>
      <w:r w:rsidDel="00000000" w:rsidR="00000000" w:rsidRPr="00000000">
        <w:rPr>
          <w:rtl w:val="0"/>
        </w:rPr>
        <w:t xml:space="preserve">59. Ahora bien, la FNE de Chile indica que, respecto de la fijación de precios como una restricción vertical, se pueden considerar: la fijación de precios mínimos de reventa (RPM Mínimo), la fijación de precios máximos de reventa (RPM Máximo), así como inclusive la sugerencia de precios de reventa </w:t>
      </w:r>
    </w:p>
    <w:p w:rsidR="00000000" w:rsidDel="00000000" w:rsidP="00000000" w:rsidRDefault="00000000" w:rsidRPr="00000000" w14:paraId="000000AB">
      <w:pPr>
        <w:widowControl w:val="0"/>
        <w:spacing w:after="0" w:line="360" w:lineRule="auto"/>
        <w:jc w:val="both"/>
        <w:rPr/>
      </w:pPr>
      <w:r w:rsidDel="00000000" w:rsidR="00000000" w:rsidRPr="00000000">
        <w:rPr>
          <w:rtl w:val="0"/>
        </w:rPr>
        <w:t xml:space="preserve">60. De otro lado, la OECD (2021) señala también que una restricción vertical sobre el precio de reventa puede favorecer a la protección de la imagen de la marca. En ciertos productos los precios de venta al público elevados son percibidos por los consumidores como un indicador de calidad. Así, cuando el fabricante cuenta con una reputación de ofrecer productos de alta calidad, tiene incentivos para mantener un precio alto, ya que la aplicación de grandes descuentos a los precios de los productos podría dañar la imagen de la marca. </w:t>
      </w:r>
    </w:p>
    <w:p w:rsidR="00000000" w:rsidDel="00000000" w:rsidP="00000000" w:rsidRDefault="00000000" w:rsidRPr="00000000" w14:paraId="000000AC">
      <w:pPr>
        <w:widowControl w:val="0"/>
        <w:spacing w:after="0" w:line="360" w:lineRule="auto"/>
        <w:jc w:val="both"/>
        <w:rPr/>
      </w:pPr>
      <w:r w:rsidDel="00000000" w:rsidR="00000000" w:rsidRPr="00000000">
        <w:rPr>
          <w:rtl w:val="0"/>
        </w:rPr>
        <w:t xml:space="preserve">61. Cabe destacar que en algunas legislaciones (principalmente en Europa) los acuerdos RPM (precio mínimo y precio fijo) son considerados ilegales per se, recibiendo el mismo trato que un acuerdo de precios horizontal, mientras que en jurisdicciones como Estados Unidos , Chile o Perú, son evaluados bajo la regla de la razón. </w:t>
      </w:r>
    </w:p>
    <w:p w:rsidR="00000000" w:rsidDel="00000000" w:rsidP="00000000" w:rsidRDefault="00000000" w:rsidRPr="00000000" w14:paraId="000000AD">
      <w:pPr>
        <w:widowControl w:val="0"/>
        <w:spacing w:after="0" w:line="360" w:lineRule="auto"/>
        <w:jc w:val="both"/>
        <w:rPr/>
      </w:pPr>
      <w:r w:rsidDel="00000000" w:rsidR="00000000" w:rsidRPr="00000000">
        <w:rPr>
          <w:rtl w:val="0"/>
        </w:rPr>
        <w:t xml:space="preserve">62. En atención a lo antes señalado, cabe traer a colación un caso en el que la autoridad de Competencia en Países Bajos (Autoriteit Consument &amp; Markt) sancionó a Samsung Electronics Benelux B.V. (en adelante Samsung) por coordinar el precio de ciertos televisores con varios retailers . En dicho caso, Samsung ponía en conocimiento de los retailers el precio mínimo sugerido de sus televisores, supervisando que todos cumplieran con dicho precio y, en caso no lo hicieran, se comunicaba con ellos para insistir con el precio “sugerido” e indicarles que el resto de retailers sí lo estaría cumpliendo. Adicionalmente, los retailers trasladaron reclamos a Samsung cuando identificaban que sus competidores incumplían con los precios sugeridos por dicha empresa, a fin de que Samsung se comunique con aquellos. </w:t>
      </w:r>
    </w:p>
    <w:p w:rsidR="00000000" w:rsidDel="00000000" w:rsidP="00000000" w:rsidRDefault="00000000" w:rsidRPr="00000000" w14:paraId="000000AE">
      <w:pPr>
        <w:widowControl w:val="0"/>
        <w:spacing w:after="0" w:line="360" w:lineRule="auto"/>
        <w:jc w:val="both"/>
        <w:rPr/>
      </w:pPr>
      <w:r w:rsidDel="00000000" w:rsidR="00000000" w:rsidRPr="00000000">
        <w:rPr>
          <w:rtl w:val="0"/>
        </w:rPr>
        <w:t xml:space="preserve">63. El mencionado caso fue considerado por la autoridad de competencia de Países Bajos como una restricción vertical en la modalidad de mantenimiento de precios de reventa o RPM61, por la cual Samsung fue sancionada. </w:t>
      </w:r>
    </w:p>
    <w:p w:rsidR="00000000" w:rsidDel="00000000" w:rsidP="00000000" w:rsidRDefault="00000000" w:rsidRPr="00000000" w14:paraId="000000AF">
      <w:pPr>
        <w:widowControl w:val="0"/>
        <w:spacing w:after="0" w:line="360" w:lineRule="auto"/>
        <w:jc w:val="both"/>
        <w:rPr/>
      </w:pPr>
      <w:r w:rsidDel="00000000" w:rsidR="00000000" w:rsidRPr="00000000">
        <w:rPr>
          <w:rtl w:val="0"/>
        </w:rPr>
        <w:t xml:space="preserve">64. Por su parte, la Autoridad de Competencia de Alemania (Bundeskartellamt) recientemente (2021) sancionó a la empresa Bose GmbH (en adelante Bose) por incurrir en la realización de una restricción vertical (mantenimiento de precio de reventa) . En este caso, Bose (empresa que se dedica a la distribución de </w:t>
      </w:r>
    </w:p>
    <w:p w:rsidR="00000000" w:rsidDel="00000000" w:rsidP="00000000" w:rsidRDefault="00000000" w:rsidRPr="00000000" w14:paraId="000000B0">
      <w:pPr>
        <w:widowControl w:val="0"/>
        <w:spacing w:after="0" w:line="360" w:lineRule="auto"/>
        <w:jc w:val="both"/>
        <w:rPr/>
      </w:pPr>
      <w:r w:rsidDel="00000000" w:rsidR="00000000" w:rsidRPr="00000000">
        <w:rPr>
          <w:rtl w:val="0"/>
        </w:rPr>
        <w:t xml:space="preserve">productos de audio) acordó con sus distribuidores autorizados el establecimiento de precios de reventa de sus productos. Pese a presentarse como un precio de reventa “recomendado”, la autoridad alemana observó que en diversas ocasiones los empleados de Bose se pusieron en contacto con los distribuidores que se desviaban del referido precio, luego de lo cual estos distribuidores frenaban la conducta observada por Bose. Asimismo, los distribuidores se quejaban ante Bose cuando advertían que otros distribuidores autorizados ofrecían precios de venta “demasiado bajos”. </w:t>
      </w:r>
    </w:p>
    <w:p w:rsidR="00000000" w:rsidDel="00000000" w:rsidP="00000000" w:rsidRDefault="00000000" w:rsidRPr="00000000" w14:paraId="000000B1">
      <w:pPr>
        <w:widowControl w:val="0"/>
        <w:spacing w:after="0" w:line="360" w:lineRule="auto"/>
        <w:jc w:val="both"/>
        <w:rPr/>
      </w:pPr>
      <w:r w:rsidDel="00000000" w:rsidR="00000000" w:rsidRPr="00000000">
        <w:rPr>
          <w:rtl w:val="0"/>
        </w:rPr>
        <w:t xml:space="preserve">65. Como se observa en ambos casos, el hecho de que el precio de reventa haya sido presentado como “sugerido” o “recomendado” y que, a su vez, los distribuidores o retailers hayan supervisado que sus competidores cumplan con respetar el referido precio, trasladando quejas al proveedor cuando advirtieran posibles incumplimientos, no impidió que las autoridades de competencia de Países Bajos y Alemania, respectivamente, identifiquen en estos casos una restricción vertical para el mantenimiento de precios de reventa promovido por el proveedor. </w:t>
      </w:r>
    </w:p>
    <w:p w:rsidR="00000000" w:rsidDel="00000000" w:rsidP="00000000" w:rsidRDefault="00000000" w:rsidRPr="00000000" w14:paraId="000000B2">
      <w:pPr>
        <w:widowControl w:val="0"/>
        <w:spacing w:after="0" w:line="360" w:lineRule="auto"/>
        <w:jc w:val="both"/>
        <w:rPr/>
      </w:pPr>
      <w:r w:rsidDel="00000000" w:rsidR="00000000" w:rsidRPr="00000000">
        <w:rPr>
          <w:rtl w:val="0"/>
        </w:rPr>
        <w:t xml:space="preserve">66. Resulta pertinente también mencionar el caso en el que la Autoridad de Competencia de Francia (Autorité de la concurrence) sancionó a Apple debido a que, entre los años 2005 y 2013, habría impuesto a sus distribuidores premium el precio de venta al público de los productos de dicha marca (con excepción de los iPhones), con represalias en el envío de 'stock' a los que ofrecieran descuentos y no se sometieran a esta política . A criterio de la referida autoridad, Apple habría </w:t>
      </w:r>
    </w:p>
    <w:p w:rsidR="00000000" w:rsidDel="00000000" w:rsidP="00000000" w:rsidRDefault="00000000" w:rsidRPr="00000000" w14:paraId="000000B3">
      <w:pPr>
        <w:widowControl w:val="0"/>
        <w:spacing w:after="0" w:line="360" w:lineRule="auto"/>
        <w:jc w:val="both"/>
        <w:rPr/>
      </w:pPr>
      <w:r w:rsidDel="00000000" w:rsidR="00000000" w:rsidRPr="00000000">
        <w:rPr>
          <w:rtl w:val="0"/>
        </w:rPr>
        <w:t xml:space="preserve">incurrido en un abuso de posición dominante, pues habría impuesto a tales distribuidores los precios que luego estos debían presentar a sus clientes, los cuales debían corresponder con los que Apple ofrecía en su tienda online y en sus emplazamientos físicos . </w:t>
      </w:r>
    </w:p>
    <w:p w:rsidR="00000000" w:rsidDel="00000000" w:rsidP="00000000" w:rsidRDefault="00000000" w:rsidRPr="00000000" w14:paraId="000000B4">
      <w:pPr>
        <w:widowControl w:val="0"/>
        <w:spacing w:after="0" w:line="360" w:lineRule="auto"/>
        <w:jc w:val="both"/>
        <w:rPr/>
      </w:pPr>
      <w:r w:rsidDel="00000000" w:rsidR="00000000" w:rsidRPr="00000000">
        <w:rPr>
          <w:rtl w:val="0"/>
        </w:rPr>
        <w:t xml:space="preserve">67. Así, en este caso, la Autoridad de Competencia de Francia sancionó la conducta como una restricción vertical, en la medida de que fue Apple quien impuso los precios de reventa, amenazando y sancionando a los distribuidores que incumplieran con ello. </w:t>
      </w:r>
    </w:p>
    <w:p w:rsidR="00000000" w:rsidDel="00000000" w:rsidP="00000000" w:rsidRDefault="00000000" w:rsidRPr="00000000" w14:paraId="000000B5">
      <w:pPr>
        <w:widowControl w:val="0"/>
        <w:spacing w:after="0" w:line="360" w:lineRule="auto"/>
        <w:jc w:val="both"/>
        <w:rPr/>
      </w:pPr>
      <w:r w:rsidDel="00000000" w:rsidR="00000000" w:rsidRPr="00000000">
        <w:rPr>
          <w:rtl w:val="0"/>
        </w:rPr>
        <w:t xml:space="preserve">B. Sobre las prácticas colusorias horizontales </w:t>
      </w:r>
    </w:p>
    <w:p w:rsidR="00000000" w:rsidDel="00000000" w:rsidP="00000000" w:rsidRDefault="00000000" w:rsidRPr="00000000" w14:paraId="000000B6">
      <w:pPr>
        <w:widowControl w:val="0"/>
        <w:spacing w:after="0" w:line="360" w:lineRule="auto"/>
        <w:jc w:val="both"/>
        <w:rPr/>
      </w:pPr>
      <w:r w:rsidDel="00000000" w:rsidR="00000000" w:rsidRPr="00000000">
        <w:rPr>
          <w:rtl w:val="0"/>
        </w:rPr>
        <w:t xml:space="preserve">68. Las prácticas colusorias horizontales se encuentran tipificadas como conductas anticompetitivas en el artículo 11 del TUO de la LRCA65. </w:t>
      </w:r>
    </w:p>
    <w:p w:rsidR="00000000" w:rsidDel="00000000" w:rsidP="00000000" w:rsidRDefault="00000000" w:rsidRPr="00000000" w14:paraId="000000B7">
      <w:pPr>
        <w:widowControl w:val="0"/>
        <w:spacing w:after="0" w:line="360" w:lineRule="auto"/>
        <w:jc w:val="both"/>
        <w:rPr/>
      </w:pPr>
      <w:r w:rsidDel="00000000" w:rsidR="00000000" w:rsidRPr="00000000">
        <w:rPr>
          <w:rtl w:val="0"/>
        </w:rPr>
        <w:t xml:space="preserve">69. Estas conductas consisten en coordinaciones realizadas por los agentes económicos que participan directa o indirectamente en el mismo nivel de una cadena de producción, distribución o comercialización y que normalmente compiten entre sí respecto de precios, producción, mercados y clientes66, con el objeto o efecto de eliminar, restringir o limitar la competencia, en detrimento de los consumidores, de otros competidores, de los clientes o de los proveedores67. </w:t>
      </w:r>
    </w:p>
    <w:p w:rsidR="00000000" w:rsidDel="00000000" w:rsidP="00000000" w:rsidRDefault="00000000" w:rsidRPr="00000000" w14:paraId="000000B8">
      <w:pPr>
        <w:widowControl w:val="0"/>
        <w:spacing w:after="0" w:line="360" w:lineRule="auto"/>
        <w:jc w:val="both"/>
        <w:rPr/>
      </w:pPr>
      <w:r w:rsidDel="00000000" w:rsidR="00000000" w:rsidRPr="00000000">
        <w:rPr>
          <w:rtl w:val="0"/>
        </w:rPr>
        <w:t xml:space="preserve">70. El TUO de la LRCA establece que las prácticas colusorias horizontales se pueden materializar a través de acuerdos, decisiones, recomendaciones68 y prácticas concertadas. Por tanto, las modalidades antes mencionadas básicamente representan las diversas manifestaciones bajo las cuales se lleva a cabo esta conducta anticompetitiva (práctica colusoria horizontal). </w:t>
      </w:r>
    </w:p>
    <w:p w:rsidR="00000000" w:rsidDel="00000000" w:rsidP="00000000" w:rsidRDefault="00000000" w:rsidRPr="00000000" w14:paraId="000000B9">
      <w:pPr>
        <w:widowControl w:val="0"/>
        <w:spacing w:after="0" w:line="360" w:lineRule="auto"/>
        <w:jc w:val="both"/>
        <w:rPr/>
      </w:pPr>
      <w:r w:rsidDel="00000000" w:rsidR="00000000" w:rsidRPr="00000000">
        <w:rPr>
          <w:rtl w:val="0"/>
        </w:rPr>
        <w:t xml:space="preserve">71. Así, los acuerdos que limitan la competencia o acuerdos colusorios son definidos como todo concierto de voluntades mediante el cual varios operadores económicos independientes se comprometen en una conducta que tiene por finalidad o efecto restringir la competencia69. También es definido como todo contrato, convenio, concertación, práctica concertada o conscientemente paralela entre dos o más empresas70. </w:t>
      </w:r>
    </w:p>
    <w:p w:rsidR="00000000" w:rsidDel="00000000" w:rsidP="00000000" w:rsidRDefault="00000000" w:rsidRPr="00000000" w14:paraId="000000BA">
      <w:pPr>
        <w:widowControl w:val="0"/>
        <w:spacing w:after="0" w:line="360" w:lineRule="auto"/>
        <w:jc w:val="both"/>
        <w:rPr/>
      </w:pPr>
      <w:r w:rsidDel="00000000" w:rsidR="00000000" w:rsidRPr="00000000">
        <w:rPr>
          <w:rtl w:val="0"/>
        </w:rPr>
        <w:t xml:space="preserve">72. Por su parte, las prácticas concertadas se han definido como una forma de cooperación entre las empresas que, sin haber adoptado un acuerdo formal, sustituye en los hechos a la competencia71. Estas prácticas concertadas consisten en la ejecución de un plan que se sustenta en la adaptación simultánea de comportamientos, lo que normalmente presupone un intercambio de información previo (por ejemplo, el anuncio de un incremento o de una base de precios, la adopción de un estándar determinado, etc.)72. </w:t>
      </w:r>
    </w:p>
    <w:p w:rsidR="00000000" w:rsidDel="00000000" w:rsidP="00000000" w:rsidRDefault="00000000" w:rsidRPr="00000000" w14:paraId="000000BB">
      <w:pPr>
        <w:widowControl w:val="0"/>
        <w:spacing w:after="0" w:line="360" w:lineRule="auto"/>
        <w:jc w:val="both"/>
        <w:rPr/>
      </w:pPr>
      <w:r w:rsidDel="00000000" w:rsidR="00000000" w:rsidRPr="00000000">
        <w:rPr>
          <w:rtl w:val="0"/>
        </w:rPr>
        <w:t xml:space="preserve">73. Asimismo, el literal 2 del artículo 11 del TUO de la LRCA establece que se encuentran sujetas a prohibición absoluta, aquellas prácticas colusorias horizontales inter marca que tengan por objeto: la fijación de precios u otras condiciones comerciales o de servicio; la limitación de la producción o las ventas, en particular por medio de cuotas; el reparto de clientes, proveedores o zonas geográficas, o el establecimiento de posturas o abstenciones en licitaciones, concursos u otra forma de contratación o adquisición pública. </w:t>
      </w:r>
    </w:p>
    <w:p w:rsidR="00000000" w:rsidDel="00000000" w:rsidP="00000000" w:rsidRDefault="00000000" w:rsidRPr="00000000" w14:paraId="000000BC">
      <w:pPr>
        <w:widowControl w:val="0"/>
        <w:spacing w:after="0" w:line="360" w:lineRule="auto"/>
        <w:jc w:val="both"/>
        <w:rPr/>
      </w:pPr>
      <w:r w:rsidDel="00000000" w:rsidR="00000000" w:rsidRPr="00000000">
        <w:rPr>
          <w:rtl w:val="0"/>
        </w:rPr>
        <w:t xml:space="preserve">C. Las prácticas colusorias horizontales en la modalidad hub &amp; spoke </w:t>
      </w:r>
    </w:p>
    <w:p w:rsidR="00000000" w:rsidDel="00000000" w:rsidP="00000000" w:rsidRDefault="00000000" w:rsidRPr="00000000" w14:paraId="000000BD">
      <w:pPr>
        <w:widowControl w:val="0"/>
        <w:spacing w:after="0" w:line="360" w:lineRule="auto"/>
        <w:jc w:val="both"/>
        <w:rPr/>
      </w:pPr>
      <w:r w:rsidDel="00000000" w:rsidR="00000000" w:rsidRPr="00000000">
        <w:rPr>
          <w:rtl w:val="0"/>
        </w:rPr>
        <w:t xml:space="preserve">74. De acuerdo con la OECD los esquemas hub and spoke son restricciones horizontales a nivel de proveedor o minorista . Estas actuaciones involucran un elemento vertical, pues se implementan a través de actores relacionados verticalmente que sirven como un centro o eje (hub) común (podría ser el fabricante o proveedor de servicios, o el minorista) para que dos o más agentes competidores en otro nivel de la cadena (los spokes) coordinen sus acciones. Es importante señalar que el hub facilita la coordinación de la competencia entre los spokes. </w:t>
      </w:r>
    </w:p>
    <w:p w:rsidR="00000000" w:rsidDel="00000000" w:rsidP="00000000" w:rsidRDefault="00000000" w:rsidRPr="00000000" w14:paraId="000000BE">
      <w:pPr>
        <w:widowControl w:val="0"/>
        <w:spacing w:after="0" w:line="360" w:lineRule="auto"/>
        <w:jc w:val="both"/>
        <w:rPr/>
      </w:pPr>
      <w:r w:rsidDel="00000000" w:rsidR="00000000" w:rsidRPr="00000000">
        <w:rPr>
          <w:rtl w:val="0"/>
        </w:rPr>
        <w:t xml:space="preserve">75. Al respecto, Falls y Saravia manifiestan una definición similar, indicando que el esquema hub and spoke involucra tanto una colusión horizontal como una relación vertical . Asimismo, Harrington expresa que una colusión bajo el esquema hub and spoke tiene lugar cuando los competidores en un mercado coordinan su conducta comunicándose mediante un proveedor aguas arriba o un cliente aguas abajo. </w:t>
      </w:r>
    </w:p>
    <w:p w:rsidR="00000000" w:rsidDel="00000000" w:rsidP="00000000" w:rsidRDefault="00000000" w:rsidRPr="00000000" w14:paraId="000000BF">
      <w:pPr>
        <w:widowControl w:val="0"/>
        <w:spacing w:after="0" w:line="360" w:lineRule="auto"/>
        <w:jc w:val="both"/>
        <w:rPr/>
      </w:pPr>
      <w:r w:rsidDel="00000000" w:rsidR="00000000" w:rsidRPr="00000000">
        <w:rPr>
          <w:rtl w:val="0"/>
        </w:rPr>
        <w:t xml:space="preserve">76. Es importante señalar que cuando el hub se encuentra aguas arriba puede tener una presencia más importante en la conducta, en la medida que los spokes pueden inducirlo a establecer una restricción vertical (un RPM, por ejemplo) que sirva como un vehículo que facilite la coordinación del acuerdo horizontal entre estos. </w:t>
      </w:r>
    </w:p>
    <w:p w:rsidR="00000000" w:rsidDel="00000000" w:rsidP="00000000" w:rsidRDefault="00000000" w:rsidRPr="00000000" w14:paraId="000000C0">
      <w:pPr>
        <w:widowControl w:val="0"/>
        <w:spacing w:after="0" w:line="360" w:lineRule="auto"/>
        <w:jc w:val="both"/>
        <w:rPr/>
      </w:pPr>
      <w:r w:rsidDel="00000000" w:rsidR="00000000" w:rsidRPr="00000000">
        <w:rPr>
          <w:rtl w:val="0"/>
        </w:rPr>
        <w:t xml:space="preserve">77. Asimismo, se debe tener en cuenta que lo que diferencia las prácticas verticales de un acuerdo horizontal bajo el esquema hub and spoke es la colusión entre los competidores (acuerdo horizontal entre los spokes)78. Así, ante la ausencia de tal acuerdo entre los spokes, en realidad estaríamos ante un conjunto de restricciones verticales paralelas establecidas de forma bidireccional entre, por ejemplo, un fabricante y cada uno de sus distribuidores, que aquel trataría de hacer cumplir en la medida que persigue un fin específico para la comercialización de su producto (por ejemplo, enviar señales sobre la calidad del producto que ofrece). </w:t>
      </w:r>
    </w:p>
    <w:p w:rsidR="00000000" w:rsidDel="00000000" w:rsidP="00000000" w:rsidRDefault="00000000" w:rsidRPr="00000000" w14:paraId="000000C1">
      <w:pPr>
        <w:widowControl w:val="0"/>
        <w:spacing w:after="0" w:line="360" w:lineRule="auto"/>
        <w:jc w:val="both"/>
        <w:rPr/>
      </w:pPr>
      <w:r w:rsidDel="00000000" w:rsidR="00000000" w:rsidRPr="00000000">
        <w:rPr>
          <w:rtl w:val="0"/>
        </w:rPr>
        <w:t xml:space="preserve">78. Según el estándar probatorio en la jurisprudencia estadounidense, el acuerdo horizontal puede identificarse mediante pruebas concluyentes o circunstanciales, sin necesidad de acreditar la comunicación directa entre los spokes, ya que bajo un esquema hub and spoke la comunicación entre competidores se produce de forma indirecta a través del hub79. En ese sentido, la prueba directa o circunstancial debe demostrar razonablemente que las partes tenían un compromiso con un plan común establecido para lograr un objetivo ilícito y que el actor vertical facilitó tal esquema, a diferencia de las restricciones verticales en las que el acuerdo se daría sustancialmente entre agentes en distintos niveles de la cadena de valor. En efecto, para las autoridades de competencia de los Estados Unidos, es necesario determinar que los competidores acordaron restringir la competencia, de modo que el acuerdo horizontal entre los spokes es el elemento central del hecho ilícito. </w:t>
      </w:r>
    </w:p>
    <w:p w:rsidR="00000000" w:rsidDel="00000000" w:rsidP="00000000" w:rsidRDefault="00000000" w:rsidRPr="00000000" w14:paraId="000000C2">
      <w:pPr>
        <w:widowControl w:val="0"/>
        <w:spacing w:after="0" w:line="360" w:lineRule="auto"/>
        <w:jc w:val="both"/>
        <w:rPr/>
      </w:pPr>
      <w:r w:rsidDel="00000000" w:rsidR="00000000" w:rsidRPr="00000000">
        <w:rPr>
          <w:rtl w:val="0"/>
        </w:rPr>
        <w:t xml:space="preserve">79. Conforme a lo expuesto, la diferencia principal entre los cárteles con esquema hub and spoke de las restricciones verticales, es la existencia de la colusión horizontal entre los spokes81. </w:t>
      </w:r>
    </w:p>
    <w:p w:rsidR="00000000" w:rsidDel="00000000" w:rsidP="00000000" w:rsidRDefault="00000000" w:rsidRPr="00000000" w14:paraId="000000C3">
      <w:pPr>
        <w:widowControl w:val="0"/>
        <w:spacing w:after="0" w:line="360" w:lineRule="auto"/>
        <w:jc w:val="both"/>
        <w:rPr/>
      </w:pPr>
      <w:r w:rsidDel="00000000" w:rsidR="00000000" w:rsidRPr="00000000">
        <w:rPr>
          <w:rtl w:val="0"/>
        </w:rPr>
        <w:t xml:space="preserve">Gráfico 2: Diferencia entre RPM y Hub and Spoke </w:t>
      </w:r>
    </w:p>
    <w:p w:rsidR="00000000" w:rsidDel="00000000" w:rsidP="00000000" w:rsidRDefault="00000000" w:rsidRPr="00000000" w14:paraId="000000C4">
      <w:pPr>
        <w:widowControl w:val="0"/>
        <w:spacing w:after="0" w:line="360" w:lineRule="auto"/>
        <w:jc w:val="both"/>
        <w:rPr/>
      </w:pPr>
      <w:r w:rsidDel="00000000" w:rsidR="00000000" w:rsidRPr="00000000">
        <w:rPr>
          <w:rtl w:val="0"/>
        </w:rPr>
        <w:t xml:space="preserve">Restricciones verticales (RPM) Hub &amp; Spoke  (imagenes)</w:t>
      </w:r>
    </w:p>
    <w:p w:rsidR="00000000" w:rsidDel="00000000" w:rsidP="00000000" w:rsidRDefault="00000000" w:rsidRPr="00000000" w14:paraId="000000C5">
      <w:pPr>
        <w:widowControl w:val="0"/>
        <w:spacing w:after="0" w:line="360" w:lineRule="auto"/>
        <w:jc w:val="both"/>
        <w:rPr/>
      </w:pPr>
      <w:r w:rsidDel="00000000" w:rsidR="00000000" w:rsidRPr="00000000">
        <w:rPr>
          <w:rtl w:val="0"/>
        </w:rPr>
        <w:t xml:space="preserve">80. En este punto resulta importante considerar lo señalado por Sahuguet y Walckiers . De acuerdo con estos autores, en el contexto de un aparente hub and spoke, en el que están involucrados acuerdos RPM, los intercambios de información son esencialmente de una naturaleza horizontal cuando el poder de mercado o de negociación recae en los distribuidores (mercado aguas abajo), y el objetivo es incrementar los precios finales, por lo que estos intercambios de información son susceptibles de reducir el bienestar. En la misma línea se encuentra Amore (2016) , quien considera que para establecer la existencia de un hub and spoke los minoristas deben gozar de un significativo poder de negociación frente a sus proveedores, de modo que al explotar tal poder pueden alcanzar una colusión horizontal, aguas abajo o aguas arriba, a través de una red de restricciones verticales que tienen por finalidad reducir la competencia en el nivel minorista. </w:t>
      </w:r>
    </w:p>
    <w:p w:rsidR="00000000" w:rsidDel="00000000" w:rsidP="00000000" w:rsidRDefault="00000000" w:rsidRPr="00000000" w14:paraId="000000C6">
      <w:pPr>
        <w:widowControl w:val="0"/>
        <w:spacing w:after="0" w:line="360" w:lineRule="auto"/>
        <w:jc w:val="both"/>
        <w:rPr/>
      </w:pPr>
      <w:r w:rsidDel="00000000" w:rsidR="00000000" w:rsidRPr="00000000">
        <w:rPr>
          <w:rtl w:val="0"/>
        </w:rPr>
        <w:t xml:space="preserve">81. Así, son muchos los elementos de naturaleza compleja los que se deben considerar para poder distinguir un conjunto de restricciones verticales de un acuerdo horizontal del tipo hub and spoke. Esto es reconocido por la OECD, entidad que señala que los tribunales han establecido altos estándares probatorios para evitar perseguir y sancionar intercambios verticales legítimos que pueden mejorar la eficiencia. </w:t>
      </w:r>
    </w:p>
    <w:p w:rsidR="00000000" w:rsidDel="00000000" w:rsidP="00000000" w:rsidRDefault="00000000" w:rsidRPr="00000000" w14:paraId="000000C7">
      <w:pPr>
        <w:widowControl w:val="0"/>
        <w:spacing w:after="0" w:line="360" w:lineRule="auto"/>
        <w:jc w:val="both"/>
        <w:rPr/>
      </w:pPr>
      <w:r w:rsidDel="00000000" w:rsidR="00000000" w:rsidRPr="00000000">
        <w:rPr>
          <w:rtl w:val="0"/>
        </w:rPr>
        <w:t xml:space="preserve">82. Teniendo en cuenta lo expuesto, a continuación, corresponde determinar la forma en la que se habría desarrollado la conducta de los imputados en el presente caso. </w:t>
      </w:r>
    </w:p>
    <w:p w:rsidR="00000000" w:rsidDel="00000000" w:rsidP="00000000" w:rsidRDefault="00000000" w:rsidRPr="00000000" w14:paraId="000000C8">
      <w:pPr>
        <w:widowControl w:val="0"/>
        <w:spacing w:after="0" w:line="360" w:lineRule="auto"/>
        <w:jc w:val="both"/>
        <w:rPr/>
      </w:pPr>
      <w:r w:rsidDel="00000000" w:rsidR="00000000" w:rsidRPr="00000000">
        <w:rPr>
          <w:rtl w:val="0"/>
        </w:rPr>
        <w:t xml:space="preserve">III.4. Aplicación al presente caso </w:t>
      </w:r>
    </w:p>
    <w:p w:rsidR="00000000" w:rsidDel="00000000" w:rsidP="00000000" w:rsidRDefault="00000000" w:rsidRPr="00000000" w14:paraId="000000C9">
      <w:pPr>
        <w:widowControl w:val="0"/>
        <w:spacing w:after="0" w:line="360" w:lineRule="auto"/>
        <w:jc w:val="both"/>
        <w:rPr/>
      </w:pPr>
      <w:r w:rsidDel="00000000" w:rsidR="00000000" w:rsidRPr="00000000">
        <w:rPr>
          <w:rtl w:val="0"/>
        </w:rPr>
        <w:t xml:space="preserve">83. Mediante la Resolución Final, la Comisión determinó que los autoservicios incurrieron en una práctica colusoria horizontal en la modalidad de acuerdo para la fijación de precios en el mercado de comercialización de pavo entero San </w:t>
      </w:r>
    </w:p>
    <w:p w:rsidR="00000000" w:rsidDel="00000000" w:rsidP="00000000" w:rsidRDefault="00000000" w:rsidRPr="00000000" w14:paraId="000000CA">
      <w:pPr>
        <w:widowControl w:val="0"/>
        <w:spacing w:after="0" w:line="360" w:lineRule="auto"/>
        <w:jc w:val="both"/>
        <w:rPr/>
      </w:pPr>
      <w:r w:rsidDel="00000000" w:rsidR="00000000" w:rsidRPr="00000000">
        <w:rPr>
          <w:rtl w:val="0"/>
        </w:rPr>
        <w:t xml:space="preserve">Fernando a nivel nacional, de acuerdo con lo detallado en el literal (i) del numeral 14 de la presente resolución. Asimismo, la Comisión declaró que San Fernando participó como planificador, intermediario o facilitador de dicha práctica colusoria horizontal en los años 2015 y 2016 . </w:t>
      </w:r>
    </w:p>
    <w:p w:rsidR="00000000" w:rsidDel="00000000" w:rsidP="00000000" w:rsidRDefault="00000000" w:rsidRPr="00000000" w14:paraId="000000CB">
      <w:pPr>
        <w:widowControl w:val="0"/>
        <w:spacing w:after="0" w:line="360" w:lineRule="auto"/>
        <w:jc w:val="both"/>
        <w:rPr/>
      </w:pPr>
      <w:r w:rsidDel="00000000" w:rsidR="00000000" w:rsidRPr="00000000">
        <w:rPr>
          <w:rtl w:val="0"/>
        </w:rPr>
        <w:t xml:space="preserve">84. A criterio de la Comisión, los autoservicios acordaron -bajo el esquema hub &amp; spoke- el respeto de un PVPms en la comercialización de pavo entero marca San Fernando en las campañas navideñas del período investigado, fungiendo San Fernando como facilitador de tal conducta. </w:t>
      </w:r>
    </w:p>
    <w:p w:rsidR="00000000" w:rsidDel="00000000" w:rsidP="00000000" w:rsidRDefault="00000000" w:rsidRPr="00000000" w14:paraId="000000CC">
      <w:pPr>
        <w:widowControl w:val="0"/>
        <w:spacing w:after="0" w:line="360" w:lineRule="auto"/>
        <w:jc w:val="both"/>
        <w:rPr/>
      </w:pPr>
      <w:r w:rsidDel="00000000" w:rsidR="00000000" w:rsidRPr="00000000">
        <w:rPr>
          <w:rtl w:val="0"/>
        </w:rPr>
        <w:t xml:space="preserve">85. Es importante resaltar que la Comisión indicó que la referida práctica colusoria horizontal por parte de los autoservicios se encuentra tipificada en los artículos 1 y 11.1 literal a) del TUO de la LRCA y se encuentra sujeta a una prohibición absoluta, de conformidad con lo dispuesto en el artículo 11.2 literal a) de dicha norma. Por su parte, la Comisión sostuvo que la conducta de San Fernando se encuentra tipificada en el artículo 2.4 del TUO de la LRCA, pues habría planificado, intermediado o facilitado la referida práctica sujeta a prohibición absoluta. </w:t>
      </w:r>
    </w:p>
    <w:p w:rsidR="00000000" w:rsidDel="00000000" w:rsidP="00000000" w:rsidRDefault="00000000" w:rsidRPr="00000000" w14:paraId="000000CD">
      <w:pPr>
        <w:widowControl w:val="0"/>
        <w:spacing w:after="0" w:line="360" w:lineRule="auto"/>
        <w:jc w:val="both"/>
        <w:rPr/>
      </w:pPr>
      <w:r w:rsidDel="00000000" w:rsidR="00000000" w:rsidRPr="00000000">
        <w:rPr>
          <w:rtl w:val="0"/>
        </w:rPr>
        <w:t xml:space="preserve">86. En apelación, San Fernando, Makro y Tottus señalaron que la evidencia que consta en el expediente no configuraría la presunta práctica colusoria horizontal entre los autoservicios, -facilitada por San Fernando-, que ha sido imputada y posteriormente sancionada por la Comisión, sino una relación de naturaleza vertical entre San Fernando y los autoservicios para el mantenimiento de precios de reventa (RPM), conforme a lo expuesto en el marco conceptual precedente. </w:t>
      </w:r>
    </w:p>
    <w:p w:rsidR="00000000" w:rsidDel="00000000" w:rsidP="00000000" w:rsidRDefault="00000000" w:rsidRPr="00000000" w14:paraId="000000CE">
      <w:pPr>
        <w:widowControl w:val="0"/>
        <w:spacing w:after="0" w:line="360" w:lineRule="auto"/>
        <w:jc w:val="both"/>
        <w:rPr/>
      </w:pPr>
      <w:r w:rsidDel="00000000" w:rsidR="00000000" w:rsidRPr="00000000">
        <w:rPr>
          <w:rtl w:val="0"/>
        </w:rPr>
        <w:t xml:space="preserve">87. En atención a ello, a continuación, esta Sala procederá a evaluar lo alegado por tales apelantes. </w:t>
      </w:r>
    </w:p>
    <w:p w:rsidR="00000000" w:rsidDel="00000000" w:rsidP="00000000" w:rsidRDefault="00000000" w:rsidRPr="00000000" w14:paraId="000000CF">
      <w:pPr>
        <w:widowControl w:val="0"/>
        <w:spacing w:after="0" w:line="360" w:lineRule="auto"/>
        <w:jc w:val="both"/>
        <w:rPr/>
      </w:pPr>
      <w:r w:rsidDel="00000000" w:rsidR="00000000" w:rsidRPr="00000000">
        <w:rPr>
          <w:rtl w:val="0"/>
        </w:rPr>
        <w:t xml:space="preserve">88. De acuerdo con la Comisión, el objetivo de la presunta concertación entre los autoservicios fue la coordinación del precio de venta del pavo entero en las campañas navideñas del 2009 al 2016. Así, la Comisión sostuvo que los autoservicios adoptaron conscientemente una relación coordinada para el cumplimiento de la regla en torno al PVPms, supeditando o condicionando sus incrementos de precios a los incrementos de precios de las demás cadenas. </w:t>
      </w:r>
    </w:p>
    <w:p w:rsidR="00000000" w:rsidDel="00000000" w:rsidP="00000000" w:rsidRDefault="00000000" w:rsidRPr="00000000" w14:paraId="000000D0">
      <w:pPr>
        <w:widowControl w:val="0"/>
        <w:spacing w:after="0" w:line="360" w:lineRule="auto"/>
        <w:jc w:val="both"/>
        <w:rPr/>
      </w:pPr>
      <w:r w:rsidDel="00000000" w:rsidR="00000000" w:rsidRPr="00000000">
        <w:rPr>
          <w:rtl w:val="0"/>
        </w:rPr>
        <w:t xml:space="preserve">89. Al respecto, de la revisión de los actuados que obran en el expediente, se aprecia que la determinación del PVPms del pavo entero San Fernando, durante el periodo investigado, no habría provenido de un acuerdo entre los autoservicios ni dan cuenta de una eventual inducción por parte de estos a San Fernando para facilitar una concertación entre ellos, sino que se trató de una política que habría sido impuesta unilateralmente por San Fernando. </w:t>
      </w:r>
    </w:p>
    <w:p w:rsidR="00000000" w:rsidDel="00000000" w:rsidP="00000000" w:rsidRDefault="00000000" w:rsidRPr="00000000" w14:paraId="000000D1">
      <w:pPr>
        <w:widowControl w:val="0"/>
        <w:spacing w:after="0" w:line="360" w:lineRule="auto"/>
        <w:jc w:val="both"/>
        <w:rPr/>
      </w:pPr>
      <w:r w:rsidDel="00000000" w:rsidR="00000000" w:rsidRPr="00000000">
        <w:rPr>
          <w:rtl w:val="0"/>
        </w:rPr>
        <w:t xml:space="preserve">90. En efecto, en el transcurso del procedimiento se aprecia que el propio San Fernando reconoció haber sido quien implementó la política de aplicación de PVPms sobre el pavo entero de su marca: </w:t>
      </w:r>
    </w:p>
    <w:p w:rsidR="00000000" w:rsidDel="00000000" w:rsidP="00000000" w:rsidRDefault="00000000" w:rsidRPr="00000000" w14:paraId="000000D2">
      <w:pPr>
        <w:widowControl w:val="0"/>
        <w:spacing w:after="0" w:line="360" w:lineRule="auto"/>
        <w:jc w:val="both"/>
        <w:rPr/>
      </w:pPr>
      <w:r w:rsidDel="00000000" w:rsidR="00000000" w:rsidRPr="00000000">
        <w:rPr>
          <w:rtl w:val="0"/>
        </w:rPr>
        <w:t xml:space="preserve">ESCRITO DE APELACIÓN PRESENTADO POR SAN FERNANDO EL 25 DE ABRIL DE 2022 </w:t>
      </w:r>
    </w:p>
    <w:p w:rsidR="00000000" w:rsidDel="00000000" w:rsidP="00000000" w:rsidRDefault="00000000" w:rsidRPr="00000000" w14:paraId="000000D3">
      <w:pPr>
        <w:widowControl w:val="0"/>
        <w:spacing w:after="0" w:line="360" w:lineRule="auto"/>
        <w:jc w:val="both"/>
        <w:rPr/>
      </w:pPr>
      <w:r w:rsidDel="00000000" w:rsidR="00000000" w:rsidRPr="00000000">
        <w:rPr>
          <w:rtl w:val="0"/>
        </w:rPr>
        <w:t xml:space="preserve">“(…) </w:t>
      </w:r>
    </w:p>
    <w:p w:rsidR="00000000" w:rsidDel="00000000" w:rsidP="00000000" w:rsidRDefault="00000000" w:rsidRPr="00000000" w14:paraId="000000D4">
      <w:pPr>
        <w:widowControl w:val="0"/>
        <w:spacing w:after="0" w:line="360" w:lineRule="auto"/>
        <w:jc w:val="both"/>
        <w:rPr/>
      </w:pPr>
      <w:r w:rsidDel="00000000" w:rsidR="00000000" w:rsidRPr="00000000">
        <w:rPr>
          <w:rtl w:val="0"/>
        </w:rPr>
        <w:t xml:space="preserve">Nuestra compañía implementó una política de precios de venta al público sugeridos (…) calculados con el fin de ponderar un margen razonable de rentabilidad teniendo en consideración la preferencia de los consumidores y las tendencias del mercado”. (Subrayado añadido) </w:t>
      </w:r>
    </w:p>
    <w:p w:rsidR="00000000" w:rsidDel="00000000" w:rsidP="00000000" w:rsidRDefault="00000000" w:rsidRPr="00000000" w14:paraId="000000D5">
      <w:pPr>
        <w:widowControl w:val="0"/>
        <w:spacing w:after="0" w:line="360" w:lineRule="auto"/>
        <w:jc w:val="both"/>
        <w:rPr/>
      </w:pPr>
      <w:r w:rsidDel="00000000" w:rsidR="00000000" w:rsidRPr="00000000">
        <w:rPr>
          <w:rtl w:val="0"/>
        </w:rPr>
        <w:t xml:space="preserve">91. Lo anterior también se aprecia en distintos correos electrónicos recopilados en el presente procedimiento, tal como se expone a continuación. </w:t>
      </w:r>
    </w:p>
    <w:p w:rsidR="00000000" w:rsidDel="00000000" w:rsidP="00000000" w:rsidRDefault="00000000" w:rsidRPr="00000000" w14:paraId="000000D6">
      <w:pPr>
        <w:widowControl w:val="0"/>
        <w:spacing w:after="0" w:line="360" w:lineRule="auto"/>
        <w:jc w:val="both"/>
        <w:rPr/>
      </w:pPr>
      <w:r w:rsidDel="00000000" w:rsidR="00000000" w:rsidRPr="00000000">
        <w:rPr>
          <w:rtl w:val="0"/>
        </w:rPr>
        <w:t xml:space="preserve">92. En el correo CEN-01 del 26 de noviembre de 2009, se aprecia que el señor Marco Isla de San Fernando comunicó a la señora Pilar Córdova de Cencosud lo siguiente: </w:t>
      </w:r>
    </w:p>
    <w:p w:rsidR="00000000" w:rsidDel="00000000" w:rsidP="00000000" w:rsidRDefault="00000000" w:rsidRPr="00000000" w14:paraId="000000D7">
      <w:pPr>
        <w:widowControl w:val="0"/>
        <w:spacing w:after="0" w:line="360" w:lineRule="auto"/>
        <w:jc w:val="both"/>
        <w:rPr/>
      </w:pPr>
      <w:r w:rsidDel="00000000" w:rsidR="00000000" w:rsidRPr="00000000">
        <w:rPr>
          <w:rtl w:val="0"/>
        </w:rPr>
        <w:t xml:space="preserve">“(…) </w:t>
      </w:r>
    </w:p>
    <w:p w:rsidR="00000000" w:rsidDel="00000000" w:rsidP="00000000" w:rsidRDefault="00000000" w:rsidRPr="00000000" w14:paraId="000000D8">
      <w:pPr>
        <w:widowControl w:val="0"/>
        <w:spacing w:after="0" w:line="360" w:lineRule="auto"/>
        <w:jc w:val="both"/>
        <w:rPr/>
      </w:pPr>
      <w:r w:rsidDel="00000000" w:rsidR="00000000" w:rsidRPr="00000000">
        <w:rPr>
          <w:rtl w:val="0"/>
        </w:rPr>
        <w:t xml:space="preserve">Los precios sugeridos en provincias serían </w:t>
      </w:r>
    </w:p>
    <w:p w:rsidR="00000000" w:rsidDel="00000000" w:rsidP="00000000" w:rsidRDefault="00000000" w:rsidRPr="00000000" w14:paraId="000000D9">
      <w:pPr>
        <w:widowControl w:val="0"/>
        <w:spacing w:after="0" w:line="360" w:lineRule="auto"/>
        <w:jc w:val="both"/>
        <w:rPr/>
      </w:pPr>
      <w:r w:rsidDel="00000000" w:rsidR="00000000" w:rsidRPr="00000000">
        <w:rPr>
          <w:rtl w:val="0"/>
        </w:rPr>
        <w:t xml:space="preserve">Cajamarca S/ 9.50 </w:t>
      </w:r>
    </w:p>
    <w:p w:rsidR="00000000" w:rsidDel="00000000" w:rsidP="00000000" w:rsidRDefault="00000000" w:rsidRPr="00000000" w14:paraId="000000DA">
      <w:pPr>
        <w:widowControl w:val="0"/>
        <w:spacing w:after="0" w:line="360" w:lineRule="auto"/>
        <w:jc w:val="both"/>
        <w:rPr/>
      </w:pPr>
      <w:r w:rsidDel="00000000" w:rsidR="00000000" w:rsidRPr="00000000">
        <w:rPr>
          <w:rtl w:val="0"/>
        </w:rPr>
        <w:t xml:space="preserve">Chiclayo S/. 9.50 </w:t>
      </w:r>
    </w:p>
    <w:p w:rsidR="00000000" w:rsidDel="00000000" w:rsidP="00000000" w:rsidRDefault="00000000" w:rsidRPr="00000000" w14:paraId="000000DB">
      <w:pPr>
        <w:widowControl w:val="0"/>
        <w:spacing w:after="0" w:line="360" w:lineRule="auto"/>
        <w:jc w:val="both"/>
        <w:rPr/>
      </w:pPr>
      <w:r w:rsidDel="00000000" w:rsidR="00000000" w:rsidRPr="00000000">
        <w:rPr>
          <w:rtl w:val="0"/>
        </w:rPr>
        <w:t xml:space="preserve">Trujillo S/ 9.50 </w:t>
      </w:r>
    </w:p>
    <w:p w:rsidR="00000000" w:rsidDel="00000000" w:rsidP="00000000" w:rsidRDefault="00000000" w:rsidRPr="00000000" w14:paraId="000000DC">
      <w:pPr>
        <w:widowControl w:val="0"/>
        <w:spacing w:after="0" w:line="360" w:lineRule="auto"/>
        <w:jc w:val="both"/>
        <w:rPr/>
      </w:pPr>
      <w:r w:rsidDel="00000000" w:rsidR="00000000" w:rsidRPr="00000000">
        <w:rPr>
          <w:rtl w:val="0"/>
        </w:rPr>
        <w:t xml:space="preserve">Para promociones puntuales con Metro Plazos </w:t>
      </w:r>
    </w:p>
    <w:p w:rsidR="00000000" w:rsidDel="00000000" w:rsidP="00000000" w:rsidRDefault="00000000" w:rsidRPr="00000000" w14:paraId="000000DD">
      <w:pPr>
        <w:widowControl w:val="0"/>
        <w:spacing w:after="0" w:line="360" w:lineRule="auto"/>
        <w:jc w:val="both"/>
        <w:rPr/>
      </w:pPr>
      <w:r w:rsidDel="00000000" w:rsidR="00000000" w:rsidRPr="00000000">
        <w:rPr>
          <w:rtl w:val="0"/>
        </w:rPr>
        <w:t xml:space="preserve">Cajamarca S/ 8.50 </w:t>
      </w:r>
    </w:p>
    <w:p w:rsidR="00000000" w:rsidDel="00000000" w:rsidP="00000000" w:rsidRDefault="00000000" w:rsidRPr="00000000" w14:paraId="000000DE">
      <w:pPr>
        <w:widowControl w:val="0"/>
        <w:spacing w:after="0" w:line="360" w:lineRule="auto"/>
        <w:jc w:val="both"/>
        <w:rPr/>
      </w:pPr>
      <w:r w:rsidDel="00000000" w:rsidR="00000000" w:rsidRPr="00000000">
        <w:rPr>
          <w:rtl w:val="0"/>
        </w:rPr>
        <w:t xml:space="preserve">Chiclayo S/. 8.50 </w:t>
      </w:r>
    </w:p>
    <w:p w:rsidR="00000000" w:rsidDel="00000000" w:rsidP="00000000" w:rsidRDefault="00000000" w:rsidRPr="00000000" w14:paraId="000000DF">
      <w:pPr>
        <w:widowControl w:val="0"/>
        <w:spacing w:after="0" w:line="360" w:lineRule="auto"/>
        <w:jc w:val="both"/>
        <w:rPr/>
      </w:pPr>
      <w:r w:rsidDel="00000000" w:rsidR="00000000" w:rsidRPr="00000000">
        <w:rPr>
          <w:rtl w:val="0"/>
        </w:rPr>
        <w:t xml:space="preserve">Trujillo S/ 8.50 </w:t>
      </w:r>
    </w:p>
    <w:p w:rsidR="00000000" w:rsidDel="00000000" w:rsidP="00000000" w:rsidRDefault="00000000" w:rsidRPr="00000000" w14:paraId="000000E0">
      <w:pPr>
        <w:widowControl w:val="0"/>
        <w:spacing w:after="0" w:line="360" w:lineRule="auto"/>
        <w:jc w:val="both"/>
        <w:rPr/>
      </w:pPr>
      <w:r w:rsidDel="00000000" w:rsidR="00000000" w:rsidRPr="00000000">
        <w:rPr>
          <w:rtl w:val="0"/>
        </w:rPr>
        <w:t xml:space="preserve">(…)” </w:t>
      </w:r>
    </w:p>
    <w:p w:rsidR="00000000" w:rsidDel="00000000" w:rsidP="00000000" w:rsidRDefault="00000000" w:rsidRPr="00000000" w14:paraId="000000E1">
      <w:pPr>
        <w:widowControl w:val="0"/>
        <w:spacing w:after="0" w:line="360" w:lineRule="auto"/>
        <w:jc w:val="both"/>
        <w:rPr/>
      </w:pPr>
      <w:r w:rsidDel="00000000" w:rsidR="00000000" w:rsidRPr="00000000">
        <w:rPr>
          <w:rtl w:val="0"/>
        </w:rPr>
        <w:t xml:space="preserve">93. Luego, en el correo SF-04 del 5 de noviembre de 2010, se observa que internamente, la señora Jéssica Fox de San Fernando le indica al señor Carlos Izaguirre (también trabajador de dicha empresa) algunas aclaraciones con relación al establecimiento del PVPms de San Fernando: </w:t>
      </w:r>
    </w:p>
    <w:p w:rsidR="00000000" w:rsidDel="00000000" w:rsidP="00000000" w:rsidRDefault="00000000" w:rsidRPr="00000000" w14:paraId="000000E2">
      <w:pPr>
        <w:widowControl w:val="0"/>
        <w:spacing w:after="0" w:line="360" w:lineRule="auto"/>
        <w:jc w:val="both"/>
        <w:rPr/>
      </w:pPr>
      <w:r w:rsidDel="00000000" w:rsidR="00000000" w:rsidRPr="00000000">
        <w:rPr>
          <w:rtl w:val="0"/>
        </w:rPr>
        <w:t xml:space="preserve">“(…) </w:t>
      </w:r>
    </w:p>
    <w:p w:rsidR="00000000" w:rsidDel="00000000" w:rsidP="00000000" w:rsidRDefault="00000000" w:rsidRPr="00000000" w14:paraId="000000E3">
      <w:pPr>
        <w:widowControl w:val="0"/>
        <w:spacing w:after="0" w:line="360" w:lineRule="auto"/>
        <w:jc w:val="both"/>
        <w:rPr/>
      </w:pPr>
      <w:r w:rsidDel="00000000" w:rsidR="00000000" w:rsidRPr="00000000">
        <w:rPr>
          <w:rtl w:val="0"/>
        </w:rPr>
        <w:t xml:space="preserve">Algunas aclaraciones sobre el acta para los puntos de UN PAVO </w:t>
      </w:r>
    </w:p>
    <w:p w:rsidR="00000000" w:rsidDel="00000000" w:rsidP="00000000" w:rsidRDefault="00000000" w:rsidRPr="00000000" w14:paraId="000000E4">
      <w:pPr>
        <w:widowControl w:val="0"/>
        <w:spacing w:after="0" w:line="360" w:lineRule="auto"/>
        <w:jc w:val="both"/>
        <w:rPr/>
      </w:pPr>
      <w:r w:rsidDel="00000000" w:rsidR="00000000" w:rsidRPr="00000000">
        <w:rPr>
          <w:rtl w:val="0"/>
        </w:rPr>
        <w:t xml:space="preserve">- Dice: Se acordó subir el precio público esta semana a S/. 9.00 y manejar descuentos especiales para los clientes/ cuentas top. </w:t>
      </w:r>
    </w:p>
    <w:p w:rsidR="00000000" w:rsidDel="00000000" w:rsidP="00000000" w:rsidRDefault="00000000" w:rsidRPr="00000000" w14:paraId="000000E5">
      <w:pPr>
        <w:widowControl w:val="0"/>
        <w:spacing w:after="0" w:line="360" w:lineRule="auto"/>
        <w:jc w:val="both"/>
        <w:rPr/>
      </w:pPr>
      <w:r w:rsidDel="00000000" w:rsidR="00000000" w:rsidRPr="00000000">
        <w:rPr>
          <w:rtl w:val="0"/>
        </w:rPr>
        <w:t xml:space="preserve">- Debe decir: se acordó subir el precio público a S/ 9.50. </w:t>
      </w:r>
    </w:p>
    <w:p w:rsidR="00000000" w:rsidDel="00000000" w:rsidP="00000000" w:rsidRDefault="00000000" w:rsidRPr="00000000" w14:paraId="000000E6">
      <w:pPr>
        <w:widowControl w:val="0"/>
        <w:spacing w:after="0" w:line="360" w:lineRule="auto"/>
        <w:jc w:val="both"/>
        <w:rPr/>
      </w:pPr>
      <w:r w:rsidDel="00000000" w:rsidR="00000000" w:rsidRPr="00000000">
        <w:rPr>
          <w:rtl w:val="0"/>
        </w:rPr>
        <w:t xml:space="preserve">(…)” </w:t>
      </w:r>
    </w:p>
    <w:p w:rsidR="00000000" w:rsidDel="00000000" w:rsidP="00000000" w:rsidRDefault="00000000" w:rsidRPr="00000000" w14:paraId="000000E7">
      <w:pPr>
        <w:widowControl w:val="0"/>
        <w:spacing w:after="0" w:line="360" w:lineRule="auto"/>
        <w:jc w:val="both"/>
        <w:rPr/>
      </w:pPr>
      <w:r w:rsidDel="00000000" w:rsidR="00000000" w:rsidRPr="00000000">
        <w:rPr>
          <w:rtl w:val="0"/>
        </w:rPr>
        <w:t xml:space="preserve">(subrayado añadido) </w:t>
      </w:r>
    </w:p>
    <w:p w:rsidR="00000000" w:rsidDel="00000000" w:rsidP="00000000" w:rsidRDefault="00000000" w:rsidRPr="00000000" w14:paraId="000000E8">
      <w:pPr>
        <w:widowControl w:val="0"/>
        <w:spacing w:after="0" w:line="360" w:lineRule="auto"/>
        <w:jc w:val="both"/>
        <w:rPr/>
      </w:pPr>
      <w:r w:rsidDel="00000000" w:rsidR="00000000" w:rsidRPr="00000000">
        <w:rPr>
          <w:rtl w:val="0"/>
        </w:rPr>
        <w:t xml:space="preserve">94. Por otra parte, el correo MAK-03 del 22 de noviembre de 2012 revela que la señora Roxana Cánepa de Makro consultó al señor Jorge Bustamante, Jefe del Área de Ventas Mayoristas de San Fernando, lo siguiente: “Estamos necesitando precio de venta de pavo san [sic] Fernando para el mes de diciembre. Hoy cerramos precios 1er catálogo de navidad que empieza del 4 al 17 de diciembre y tengo que colocar precio de venta de su PAVO el día de hoy pues catálogo [sic] se va a la imprenta por la tarde. Nuestro acuerdo comercial es mantener su precio de venta en piso de tienda. Agradeceremos indicarnos como proceder”. </w:t>
      </w:r>
    </w:p>
    <w:p w:rsidR="00000000" w:rsidDel="00000000" w:rsidP="00000000" w:rsidRDefault="00000000" w:rsidRPr="00000000" w14:paraId="000000E9">
      <w:pPr>
        <w:widowControl w:val="0"/>
        <w:spacing w:after="0" w:line="360" w:lineRule="auto"/>
        <w:jc w:val="both"/>
        <w:rPr/>
      </w:pPr>
      <w:r w:rsidDel="00000000" w:rsidR="00000000" w:rsidRPr="00000000">
        <w:rPr>
          <w:rtl w:val="0"/>
        </w:rPr>
        <w:t xml:space="preserve">95. En respuesta a dicha comunicación, el representante de San Fernando indica: “El precio del PAVO SF [San Fernando] es de S/.12.50 en todo el canal moderno, por favor publícalo a este precio, hay que hacer mención a NAVILANDIA en tu encarte para dinamizar aún más la venta del Pavo.” </w:t>
      </w:r>
    </w:p>
    <w:p w:rsidR="00000000" w:rsidDel="00000000" w:rsidP="00000000" w:rsidRDefault="00000000" w:rsidRPr="00000000" w14:paraId="000000EA">
      <w:pPr>
        <w:widowControl w:val="0"/>
        <w:spacing w:after="0" w:line="360" w:lineRule="auto"/>
        <w:jc w:val="both"/>
        <w:rPr/>
      </w:pPr>
      <w:r w:rsidDel="00000000" w:rsidR="00000000" w:rsidRPr="00000000">
        <w:rPr>
          <w:rtl w:val="0"/>
        </w:rPr>
        <w:t xml:space="preserve">96. El correo MAK-03 permite observar varios hechos importantes respecto a la dinámica del mercado investigado. En primer lugar, se observa que Makro solicita a San Fernando que le informe el precio de venta del pavo (“Estamos necesitando el precio de venta de pavo san Fernando”). Esto muestra que era San Fernando quien establecía el PVPms por kilogramo del pavo entero de su marca (que en la campaña navideña del año 2012 fue de S/ 12.50) y, además, dicho precio era aplicable “en todo el canal moderno”88 y sería respetado debido a la existencia de un compromiso previo (“nuestro acuerdo comercial”) entre San Fernando y cada uno de los respectivos autoservicios. Otro hecho importante, es que San Fernando fijaba otras condiciones comerciales además del precio, tal como queda en evidencia en la respuesta de dicha empresa, ya que además del precio, indica que los encartes de Makro deben hacer mención a la palabra “Navilandia”, que corresponde a una campaña de marketing vinculada a un parque temático puesto en funcionamiento por San Fernando para la campaña navideña del año 201289. </w:t>
      </w:r>
    </w:p>
    <w:p w:rsidR="00000000" w:rsidDel="00000000" w:rsidP="00000000" w:rsidRDefault="00000000" w:rsidRPr="00000000" w14:paraId="000000EB">
      <w:pPr>
        <w:widowControl w:val="0"/>
        <w:spacing w:after="0" w:line="360" w:lineRule="auto"/>
        <w:jc w:val="both"/>
        <w:rPr/>
      </w:pPr>
      <w:r w:rsidDel="00000000" w:rsidR="00000000" w:rsidRPr="00000000">
        <w:rPr>
          <w:rtl w:val="0"/>
        </w:rPr>
        <w:t xml:space="preserve">97. Del mismo modo, en el correo CEN-15 del 9 de noviembre de 2015, enviado por Maribel Pinedo de San Fernando a Pilar Córdova de Cencosud, se señaló: “Te confirmo PVP sugerido S/. 11.50 pavo campaña”. </w:t>
      </w:r>
    </w:p>
    <w:p w:rsidR="00000000" w:rsidDel="00000000" w:rsidP="00000000" w:rsidRDefault="00000000" w:rsidRPr="00000000" w14:paraId="000000EC">
      <w:pPr>
        <w:widowControl w:val="0"/>
        <w:spacing w:after="0" w:line="360" w:lineRule="auto"/>
        <w:jc w:val="both"/>
        <w:rPr/>
      </w:pPr>
      <w:r w:rsidDel="00000000" w:rsidR="00000000" w:rsidRPr="00000000">
        <w:rPr>
          <w:rtl w:val="0"/>
        </w:rPr>
        <w:t xml:space="preserve">98. Por su parte, el correo SF-06 del 9 de noviembre de 2011 (comunicación interna de San Fernando) es particularmente ilustrativo, pues en este se señala expresamente que la estrategia de fijar un PVPms proviene de San Fernando: “(…) la estrategia de San Fernando es mantener un precio sobre Redondos (…) Si el PVP de Redondos es S/. 10.20 en todas las cadenas, deberíamos salir con el precio SF [San Fernando] de S/ 10.50 al público lo antes posible” (subrayado añadido). </w:t>
      </w:r>
    </w:p>
    <w:p w:rsidR="00000000" w:rsidDel="00000000" w:rsidP="00000000" w:rsidRDefault="00000000" w:rsidRPr="00000000" w14:paraId="000000ED">
      <w:pPr>
        <w:widowControl w:val="0"/>
        <w:spacing w:after="0" w:line="360" w:lineRule="auto"/>
        <w:jc w:val="both"/>
        <w:rPr/>
      </w:pPr>
      <w:r w:rsidDel="00000000" w:rsidR="00000000" w:rsidRPr="00000000">
        <w:rPr>
          <w:rtl w:val="0"/>
        </w:rPr>
        <w:t xml:space="preserve">99. Por otro lado, de la revisión de los actuados en el expediente, se aprecia que obran diversos correos electrónicos en los que San Fernando comunicaba y ejercía presión para que los autoservicios adopten forzosamente sus “precios sugeridos”. En efecto, si bien San Fernando comunicó el PVPms como un "precio sugerido" se aprecian distintos elementos de prueba que dan cuenta de una política de precios cuyo incumplimiento por parte de los autoservicios podía llevar a la imposición de castigos o cortes de despacho, como se aprecia a continuación. </w:t>
      </w:r>
    </w:p>
    <w:p w:rsidR="00000000" w:rsidDel="00000000" w:rsidP="00000000" w:rsidRDefault="00000000" w:rsidRPr="00000000" w14:paraId="000000EE">
      <w:pPr>
        <w:widowControl w:val="0"/>
        <w:spacing w:after="0" w:line="360" w:lineRule="auto"/>
        <w:jc w:val="both"/>
        <w:rPr/>
      </w:pPr>
      <w:r w:rsidDel="00000000" w:rsidR="00000000" w:rsidRPr="00000000">
        <w:rPr>
          <w:rtl w:val="0"/>
        </w:rPr>
        <w:t xml:space="preserve">100. El correo MAK-07 contiene una serie de comunicaciones efectuadas entre el 3 y 5 de diciembre de 2012. En el mensaje del 3 de diciembre de 2012 se observa que el señor Roberto Veiga del Área de Compras Carnes y Pescados de Makro, se quejó con San Fernando por un catálogo de Metro (Cencosud) que indicaba un precio de S/ 11.99 por kilogramo de pavo entero San Fernando y solicitó que este catálogo sea revisado, ya que tenía una diferencia de S/ 0.50 con el precio que estaban “manejando”. En respuesta, el señor Jorge Bustamante de San Fernando indicó: “Estas promociones funcionan en mayor medida como generadores de tráfico o fidelizadores de marca”. </w:t>
      </w:r>
    </w:p>
    <w:p w:rsidR="00000000" w:rsidDel="00000000" w:rsidP="00000000" w:rsidRDefault="00000000" w:rsidRPr="00000000" w14:paraId="000000EF">
      <w:pPr>
        <w:widowControl w:val="0"/>
        <w:spacing w:after="0" w:line="360" w:lineRule="auto"/>
        <w:jc w:val="both"/>
        <w:rPr/>
      </w:pPr>
      <w:r w:rsidDel="00000000" w:rsidR="00000000" w:rsidRPr="00000000">
        <w:rPr>
          <w:rtl w:val="0"/>
        </w:rPr>
        <w:t xml:space="preserve">101. Al día siguiente, la señora Roxana Cánepa de Makro respondió a esta última comunicación de la siguiente forma: “Nos queda más claro el tema de promociones de sus productos con otros autoservicios. Según lo mencionado líneas abajo por ustedes, para nuestro segundo catalogo procederemos a colocar precio ‘promoción’ para su producto: ‘como generadores de tráfico o fidelizadores de marca’. En nuestro primer catálogo no nos fue factible y ello por seguir indicaciones directas de ustedes mantener [sic] precio de S/. 12.50. Mañana cerramos productos/precio de nuestro segundo (…).” (subrayado añadido). </w:t>
      </w:r>
    </w:p>
    <w:p w:rsidR="00000000" w:rsidDel="00000000" w:rsidP="00000000" w:rsidRDefault="00000000" w:rsidRPr="00000000" w14:paraId="000000F0">
      <w:pPr>
        <w:widowControl w:val="0"/>
        <w:spacing w:after="0" w:line="360" w:lineRule="auto"/>
        <w:jc w:val="both"/>
        <w:rPr/>
      </w:pPr>
      <w:r w:rsidDel="00000000" w:rsidR="00000000" w:rsidRPr="00000000">
        <w:rPr>
          <w:rtl w:val="0"/>
        </w:rPr>
        <w:t xml:space="preserve">102. Ante ello, el mismo día, el señor Jorge Bustamante de San Fernando replicó: </w:t>
      </w:r>
    </w:p>
    <w:p w:rsidR="00000000" w:rsidDel="00000000" w:rsidP="00000000" w:rsidRDefault="00000000" w:rsidRPr="00000000" w14:paraId="000000F1">
      <w:pPr>
        <w:widowControl w:val="0"/>
        <w:spacing w:after="0" w:line="360" w:lineRule="auto"/>
        <w:jc w:val="both"/>
        <w:rPr/>
      </w:pPr>
      <w:r w:rsidDel="00000000" w:rsidR="00000000" w:rsidRPr="00000000">
        <w:rPr>
          <w:rtl w:val="0"/>
        </w:rPr>
        <w:t xml:space="preserve">“(…) no sé qué tan estratégico sea ofertar el PAVO en la semana pico de campaña donde solo se conseguiría reducir su margen; como recordarás el año pasado les faltó Pavo por lo que no vemos ningún sustento en generar tráfico o fidelizar?? [sic] en la semana pico de campaña. </w:t>
      </w:r>
    </w:p>
    <w:p w:rsidR="00000000" w:rsidDel="00000000" w:rsidP="00000000" w:rsidRDefault="00000000" w:rsidRPr="00000000" w14:paraId="000000F2">
      <w:pPr>
        <w:widowControl w:val="0"/>
        <w:spacing w:after="0" w:line="360" w:lineRule="auto"/>
        <w:jc w:val="both"/>
        <w:rPr/>
      </w:pPr>
      <w:r w:rsidDel="00000000" w:rsidR="00000000" w:rsidRPr="00000000">
        <w:rPr>
          <w:rtl w:val="0"/>
        </w:rPr>
        <w:t xml:space="preserve">Por otro lado no es exacto hablar de ‘nuestro tema de promociones con otros autoservicios’ ya que esto no existe, el PVP sugerido en todos los casos es de S/.12.50 y estaremos atentos si hay un claro impacto con nuestra estrategia de precios para tomar decisiones que incluyan incluso programas de despacho. </w:t>
      </w:r>
    </w:p>
    <w:p w:rsidR="00000000" w:rsidDel="00000000" w:rsidP="00000000" w:rsidRDefault="00000000" w:rsidRPr="00000000" w14:paraId="000000F3">
      <w:pPr>
        <w:widowControl w:val="0"/>
        <w:spacing w:after="0" w:line="360" w:lineRule="auto"/>
        <w:jc w:val="both"/>
        <w:rPr/>
      </w:pPr>
      <w:r w:rsidDel="00000000" w:rsidR="00000000" w:rsidRPr="00000000">
        <w:rPr>
          <w:rtl w:val="0"/>
        </w:rPr>
        <w:t xml:space="preserve">(…)” </w:t>
      </w:r>
    </w:p>
    <w:p w:rsidR="00000000" w:rsidDel="00000000" w:rsidP="00000000" w:rsidRDefault="00000000" w:rsidRPr="00000000" w14:paraId="000000F4">
      <w:pPr>
        <w:widowControl w:val="0"/>
        <w:spacing w:after="0" w:line="360" w:lineRule="auto"/>
        <w:jc w:val="both"/>
        <w:rPr/>
      </w:pPr>
      <w:r w:rsidDel="00000000" w:rsidR="00000000" w:rsidRPr="00000000">
        <w:rPr>
          <w:rtl w:val="0"/>
        </w:rPr>
        <w:t xml:space="preserve">(Subrayado añadido) </w:t>
      </w:r>
    </w:p>
    <w:p w:rsidR="00000000" w:rsidDel="00000000" w:rsidP="00000000" w:rsidRDefault="00000000" w:rsidRPr="00000000" w14:paraId="000000F5">
      <w:pPr>
        <w:widowControl w:val="0"/>
        <w:spacing w:after="0" w:line="360" w:lineRule="auto"/>
        <w:jc w:val="both"/>
        <w:rPr/>
      </w:pPr>
      <w:r w:rsidDel="00000000" w:rsidR="00000000" w:rsidRPr="00000000">
        <w:rPr>
          <w:rtl w:val="0"/>
        </w:rPr>
        <w:t xml:space="preserve">103. Así pues, se aprecia que en el correo citado San Fernando fue enfático en señalar que el PVPms debía ser respetado -bajo cualquier circunstancia- por los autoservicios y que, ante algún incumplimiento al respecto, tomaría decisiones que “incluyan incluso programas de despacho”, lo cual puede entenderse como una amenaza de corte o restricciones en el despacho del pavo entero. Además, lo señalado por Makro en este correo (“… por seguir indicaciones directas de ustedes mantener precio de S/. 12.50”) revela que los autoservicios seguían las indicaciones que daba San Fernando, que era incluso quien determinaba si se aplicaba o no promociones de acuerdo con sus políticas de fidelización de la marca (San Fernando). </w:t>
      </w:r>
    </w:p>
    <w:p w:rsidR="00000000" w:rsidDel="00000000" w:rsidP="00000000" w:rsidRDefault="00000000" w:rsidRPr="00000000" w14:paraId="000000F6">
      <w:pPr>
        <w:widowControl w:val="0"/>
        <w:spacing w:after="0" w:line="360" w:lineRule="auto"/>
        <w:jc w:val="both"/>
        <w:rPr/>
      </w:pPr>
      <w:r w:rsidDel="00000000" w:rsidR="00000000" w:rsidRPr="00000000">
        <w:rPr>
          <w:rtl w:val="0"/>
        </w:rPr>
        <w:t xml:space="preserve">104. Adicionalmente, conforme se observa en el correo SUP-04 del 2 de diciembre de 2013, en una ocasión San Fernando llegó a solicitar a Supesa, mediante una fe de erratas, la rectificación de los precios que se alejaban del PVPms -pues esta última había lanzado una oferta del 20% en el precio del pavo entero-, señalando “Lamentablemente tendrán que dar marcha atrás a esta oferta a través de un fe de erratas de lo contrario nos veremos obligados a conversar de urgencia sobre las acciones a tomar”. Dicho correo demuestra nuevamente que, no obstante haber sido comunicado como un PVP sugerido, San Fernando exigía su cumplimiento a los autoservicios. </w:t>
      </w:r>
    </w:p>
    <w:p w:rsidR="00000000" w:rsidDel="00000000" w:rsidP="00000000" w:rsidRDefault="00000000" w:rsidRPr="00000000" w14:paraId="000000F7">
      <w:pPr>
        <w:widowControl w:val="0"/>
        <w:spacing w:after="0" w:line="360" w:lineRule="auto"/>
        <w:jc w:val="both"/>
        <w:rPr/>
      </w:pPr>
      <w:r w:rsidDel="00000000" w:rsidR="00000000" w:rsidRPr="00000000">
        <w:rPr>
          <w:rtl w:val="0"/>
        </w:rPr>
        <w:t xml:space="preserve">105. Además, se observa que en el correo MAK-12 del 2 de diciembre de 2013, frente al hecho de que Makro estableció precios por debajo del PVPms, San Fernando nuevamente realiza una amenaza, comunicando su intención de dejar de despacharles pavo de su marca. Textualmente se menciona lo siguiente: “(…) te comento por nuestra parte que en línea con lo acordado dejaríamos de despachar PAVO SF a fin de evitar la guerra de precio que se ocasionaría con el encarte con el descuento que nos comunicas”. </w:t>
      </w:r>
    </w:p>
    <w:p w:rsidR="00000000" w:rsidDel="00000000" w:rsidP="00000000" w:rsidRDefault="00000000" w:rsidRPr="00000000" w14:paraId="000000F8">
      <w:pPr>
        <w:widowControl w:val="0"/>
        <w:spacing w:after="0" w:line="360" w:lineRule="auto"/>
        <w:jc w:val="both"/>
        <w:rPr/>
      </w:pPr>
      <w:r w:rsidDel="00000000" w:rsidR="00000000" w:rsidRPr="00000000">
        <w:rPr>
          <w:rtl w:val="0"/>
        </w:rPr>
        <w:t xml:space="preserve">106. Por su parte, en el correo MAK-15 del 3 de diciembre de 2013, se advierte que San Fernando señaló lo siguiente: “(…) como lo dijimos incluso en las reuniones de negociación de mayo, por evitar guerra de precio, incluso dijimos que bloquearíamos las de tarjetas de todas las cadenas a menos que se vaya con el precio objetivo”. </w:t>
      </w:r>
    </w:p>
    <w:p w:rsidR="00000000" w:rsidDel="00000000" w:rsidP="00000000" w:rsidRDefault="00000000" w:rsidRPr="00000000" w14:paraId="000000F9">
      <w:pPr>
        <w:widowControl w:val="0"/>
        <w:spacing w:after="0" w:line="360" w:lineRule="auto"/>
        <w:jc w:val="both"/>
        <w:rPr/>
      </w:pPr>
      <w:r w:rsidDel="00000000" w:rsidR="00000000" w:rsidRPr="00000000">
        <w:rPr>
          <w:rtl w:val="0"/>
        </w:rPr>
        <w:t xml:space="preserve">107. Además de ello, obran en el expediente entrevistas realizadas por personal de la Secretaría Técnica de la Comisión a representantes de los autoservicios investigados con relación al PVPms impuesto por San Fernando. Así, en la entrevista efectuada al señor Rodrigo Vásquez-Mejía, ex funcionario de Supesa, este señaló lo siguiente: “Los proveedores nos coaccionaban para que ese precio sugerido no sea más bajo. Podía ser más alto, pero no más bajo. De hecho, no era como bien su nombre dice "sugerido", pero era digamos un decir o un apodo, porque realmente era un precio obligado, sobre todo si queríamos nosotros bajar y ellos lógicamente tomaban algunas acciones para evitar o para digamos obligar a que nosotros bajáramos el precio”90 (subrayado añadido). </w:t>
      </w:r>
    </w:p>
    <w:p w:rsidR="00000000" w:rsidDel="00000000" w:rsidP="00000000" w:rsidRDefault="00000000" w:rsidRPr="00000000" w14:paraId="000000FA">
      <w:pPr>
        <w:widowControl w:val="0"/>
        <w:spacing w:after="0" w:line="360" w:lineRule="auto"/>
        <w:jc w:val="both"/>
        <w:rPr/>
      </w:pPr>
      <w:r w:rsidDel="00000000" w:rsidR="00000000" w:rsidRPr="00000000">
        <w:rPr>
          <w:rtl w:val="0"/>
        </w:rPr>
        <w:t xml:space="preserve">108. En esa misma línea, el señor Ricardo Solís, ex funcionario de Supesa, señaló en una entrevista que, si se apartaban del precio sugerido, corrían el riesgo de que San Fernando les corte el despacho91. </w:t>
      </w:r>
    </w:p>
    <w:p w:rsidR="00000000" w:rsidDel="00000000" w:rsidP="00000000" w:rsidRDefault="00000000" w:rsidRPr="00000000" w14:paraId="000000FB">
      <w:pPr>
        <w:widowControl w:val="0"/>
        <w:spacing w:after="0" w:line="360" w:lineRule="auto"/>
        <w:jc w:val="both"/>
        <w:rPr/>
      </w:pPr>
      <w:r w:rsidDel="00000000" w:rsidR="00000000" w:rsidRPr="00000000">
        <w:rPr>
          <w:rtl w:val="0"/>
        </w:rPr>
        <w:t xml:space="preserve">109. De lo expuesto hasta este punto, se aprecia que San Fernando promovía que el PVPms sea respetado por los autoservicios, el cual era informado por San Fernando al inicio de cada campaña navideña, y ejercía amenazas -como, por ejemplo, el corte o restricción de despacho- a los autoservicios que no cumplieran con respetar tal precio. </w:t>
      </w:r>
    </w:p>
    <w:p w:rsidR="00000000" w:rsidDel="00000000" w:rsidP="00000000" w:rsidRDefault="00000000" w:rsidRPr="00000000" w14:paraId="000000FC">
      <w:pPr>
        <w:widowControl w:val="0"/>
        <w:spacing w:after="0" w:line="360" w:lineRule="auto"/>
        <w:jc w:val="both"/>
        <w:rPr/>
      </w:pPr>
      <w:r w:rsidDel="00000000" w:rsidR="00000000" w:rsidRPr="00000000">
        <w:rPr>
          <w:rtl w:val="0"/>
        </w:rPr>
        <w:t xml:space="preserve">110. En esa línea, se advierte que San Fernando -conforme lo indicó expresamente en diversos correos electrónicos- decidió ejercer el control sobre los precios aguas abajo y así evitar la realización de una guerra de precios entre los autoservicios respecto del pavo San Fernando. </w:t>
      </w:r>
    </w:p>
    <w:p w:rsidR="00000000" w:rsidDel="00000000" w:rsidP="00000000" w:rsidRDefault="00000000" w:rsidRPr="00000000" w14:paraId="000000FD">
      <w:pPr>
        <w:widowControl w:val="0"/>
        <w:spacing w:after="0" w:line="360" w:lineRule="auto"/>
        <w:jc w:val="both"/>
        <w:rPr/>
      </w:pPr>
      <w:r w:rsidDel="00000000" w:rsidR="00000000" w:rsidRPr="00000000">
        <w:rPr>
          <w:rtl w:val="0"/>
        </w:rPr>
        <w:t xml:space="preserve">111. En efecto, a manera de ejemplo se observa lo siguiente en el correo CEN-13 del 21 de noviembre de 2013 de Maribel Pinedo de San Fernando a Pilar Córdova de Cencosud: "(…), con el objetivo de tener una campaña ordenada y con rentabilidad para el Pavo entero San Fernando en todo el canal AASS. [sic] San Fernando desea evitar la generación de una guerra de precios entre cadenas, por lo cual el precio público mínimo a publicar en los encartes o internas debe de ser S/.12.50 (…)". </w:t>
      </w:r>
    </w:p>
    <w:p w:rsidR="00000000" w:rsidDel="00000000" w:rsidP="00000000" w:rsidRDefault="00000000" w:rsidRPr="00000000" w14:paraId="000000FE">
      <w:pPr>
        <w:widowControl w:val="0"/>
        <w:spacing w:after="0" w:line="360" w:lineRule="auto"/>
        <w:jc w:val="both"/>
        <w:rPr/>
      </w:pPr>
      <w:r w:rsidDel="00000000" w:rsidR="00000000" w:rsidRPr="00000000">
        <w:rPr>
          <w:rtl w:val="0"/>
        </w:rPr>
        <w:t xml:space="preserve">112. Del mismo modo, se aprecia lo siguiente en el correo MAK-08 del 21 de noviembre de 2013 de Jorge Bustamante de San Fernando a funcionarios de Makro: </w:t>
      </w:r>
    </w:p>
    <w:p w:rsidR="00000000" w:rsidDel="00000000" w:rsidP="00000000" w:rsidRDefault="00000000" w:rsidRPr="00000000" w14:paraId="000000FF">
      <w:pPr>
        <w:widowControl w:val="0"/>
        <w:spacing w:after="0" w:line="360" w:lineRule="auto"/>
        <w:jc w:val="both"/>
        <w:rPr/>
      </w:pPr>
      <w:r w:rsidDel="00000000" w:rsidR="00000000" w:rsidRPr="00000000">
        <w:rPr>
          <w:rtl w:val="0"/>
        </w:rPr>
        <w:t xml:space="preserve">“Este año San Fernando desea evitar la generación de una guerra de precios entre cadenas en donde nadie gana ya que el precio y el margen bruto estimado entrarían en un espiral de decrecimiento insano para el negocio. </w:t>
      </w:r>
    </w:p>
    <w:p w:rsidR="00000000" w:rsidDel="00000000" w:rsidP="00000000" w:rsidRDefault="00000000" w:rsidRPr="00000000" w14:paraId="00000100">
      <w:pPr>
        <w:widowControl w:val="0"/>
        <w:spacing w:after="0" w:line="360" w:lineRule="auto"/>
        <w:jc w:val="both"/>
        <w:rPr/>
      </w:pPr>
      <w:r w:rsidDel="00000000" w:rsidR="00000000" w:rsidRPr="00000000">
        <w:rPr>
          <w:rtl w:val="0"/>
        </w:rPr>
        <w:t xml:space="preserve">En consecuencia hoy el precio de venta al público x kilo [sic] del pavo San Fernando es de S/.12.99 + IGV y el precio máximo de oferta será el S/.12.50 + IGV (3.8% de descuento) para cualquier encarte o publicación con y sin tarjeta.” </w:t>
      </w:r>
    </w:p>
    <w:p w:rsidR="00000000" w:rsidDel="00000000" w:rsidP="00000000" w:rsidRDefault="00000000" w:rsidRPr="00000000" w14:paraId="00000101">
      <w:pPr>
        <w:widowControl w:val="0"/>
        <w:spacing w:after="0" w:line="360" w:lineRule="auto"/>
        <w:jc w:val="both"/>
        <w:rPr/>
      </w:pPr>
      <w:r w:rsidDel="00000000" w:rsidR="00000000" w:rsidRPr="00000000">
        <w:rPr>
          <w:rtl w:val="0"/>
        </w:rPr>
        <w:t xml:space="preserve">113. Con relación a lo anterior, cabe tener en cuenta que la Comisión indicó que entre las marcas de pavos que los autoservicios comercializaban estaban San Fernando, Redondos y las marcas propias de cada autoservicio. Sin embargo, los consumidores perciben que se trataría de productos con calidades distintas -en atención al hecho de que los autoservicios ofrecen distintas marcas de pavo entero-, de manera que son productos diferenciados . Este hecho resulta de  </w:t>
      </w:r>
    </w:p>
    <w:p w:rsidR="00000000" w:rsidDel="00000000" w:rsidP="00000000" w:rsidRDefault="00000000" w:rsidRPr="00000000" w14:paraId="00000102">
      <w:pPr>
        <w:widowControl w:val="0"/>
        <w:spacing w:after="0" w:line="360" w:lineRule="auto"/>
        <w:jc w:val="both"/>
        <w:rPr/>
      </w:pPr>
      <w:r w:rsidDel="00000000" w:rsidR="00000000" w:rsidRPr="00000000">
        <w:rPr>
          <w:rtl w:val="0"/>
        </w:rPr>
        <w:t xml:space="preserve">especial relevancia, pues permite entender la forma en que el pavo de San Fernando se encontraba posicionado en el mercado. </w:t>
      </w:r>
    </w:p>
    <w:p w:rsidR="00000000" w:rsidDel="00000000" w:rsidP="00000000" w:rsidRDefault="00000000" w:rsidRPr="00000000" w14:paraId="00000103">
      <w:pPr>
        <w:widowControl w:val="0"/>
        <w:spacing w:after="0" w:line="360" w:lineRule="auto"/>
        <w:jc w:val="both"/>
        <w:rPr/>
      </w:pPr>
      <w:r w:rsidDel="00000000" w:rsidR="00000000" w:rsidRPr="00000000">
        <w:rPr>
          <w:rtl w:val="0"/>
        </w:rPr>
        <w:t xml:space="preserve">114. En efecto, San Fernando ha mencionado que su estrategia de precios buscaba reflejar el valor de su marca y la calidad de su producto , más aún considerando </w:t>
      </w:r>
    </w:p>
    <w:p w:rsidR="00000000" w:rsidDel="00000000" w:rsidP="00000000" w:rsidRDefault="00000000" w:rsidRPr="00000000" w14:paraId="00000104">
      <w:pPr>
        <w:widowControl w:val="0"/>
        <w:spacing w:after="0" w:line="360" w:lineRule="auto"/>
        <w:jc w:val="both"/>
        <w:rPr/>
      </w:pPr>
      <w:r w:rsidDel="00000000" w:rsidR="00000000" w:rsidRPr="00000000">
        <w:rPr>
          <w:rtl w:val="0"/>
        </w:rPr>
        <w:t xml:space="preserve">que su principal competidor (Redondos) se posicionaba como un producto económico, respecto del cual buscaba marcar distancia en términos de precios. Por estas razones, la empresa justificó el establecimiento de un PVPms como parte de su estrategia de posicionamiento de marca, como una marca premium o de calidad 115. En tal sentido, se colige que un eventual escenario de guerra de precios entre los autoservicios podía generar efectos negativos para San Fernando, tales como: (i) la pérdida de su posicionamiento como un producto diferenciado del ofrecido por sus competidores por su calidad; y, (ii) reducciones en las ventas del canal corporativo o presión a la baja en el precio de dicho canal para evitar la reducción de ventas, especialmente considerando que dicho canal representa la mayor proporción de ventas para la empresa. </w:t>
      </w:r>
    </w:p>
    <w:p w:rsidR="00000000" w:rsidDel="00000000" w:rsidP="00000000" w:rsidRDefault="00000000" w:rsidRPr="00000000" w14:paraId="00000105">
      <w:pPr>
        <w:widowControl w:val="0"/>
        <w:spacing w:after="0" w:line="360" w:lineRule="auto"/>
        <w:jc w:val="both"/>
        <w:rPr/>
      </w:pPr>
      <w:r w:rsidDel="00000000" w:rsidR="00000000" w:rsidRPr="00000000">
        <w:rPr>
          <w:rtl w:val="0"/>
        </w:rPr>
        <w:t xml:space="preserve">116. Sobre este último punto, resultan de particular relevancia las declaraciones brindadas por Ricardo Solís, ex funcionario de Supesa , quien explicó la lógica </w:t>
      </w:r>
    </w:p>
    <w:p w:rsidR="00000000" w:rsidDel="00000000" w:rsidP="00000000" w:rsidRDefault="00000000" w:rsidRPr="00000000" w14:paraId="00000106">
      <w:pPr>
        <w:widowControl w:val="0"/>
        <w:spacing w:after="0" w:line="360" w:lineRule="auto"/>
        <w:jc w:val="both"/>
        <w:rPr/>
      </w:pPr>
      <w:r w:rsidDel="00000000" w:rsidR="00000000" w:rsidRPr="00000000">
        <w:rPr>
          <w:rtl w:val="0"/>
        </w:rPr>
        <w:t xml:space="preserve">por la cual San Fernando buscaba que el precio del pavo de esta empresa se mantenga elevado en los autoservicios. </w:t>
      </w:r>
    </w:p>
    <w:p w:rsidR="00000000" w:rsidDel="00000000" w:rsidP="00000000" w:rsidRDefault="00000000" w:rsidRPr="00000000" w14:paraId="00000107">
      <w:pPr>
        <w:widowControl w:val="0"/>
        <w:spacing w:after="0" w:line="360" w:lineRule="auto"/>
        <w:jc w:val="both"/>
        <w:rPr/>
      </w:pPr>
      <w:r w:rsidDel="00000000" w:rsidR="00000000" w:rsidRPr="00000000">
        <w:rPr>
          <w:rtl w:val="0"/>
        </w:rPr>
        <w:t xml:space="preserve">117. Dicho funcionario señaló que la mayor cantidad de las ventas de San Fernando se realizaban en sus “paviferias” . Sin embargo, mencionó que el hecho de que </w:t>
      </w:r>
    </w:p>
    <w:p w:rsidR="00000000" w:rsidDel="00000000" w:rsidP="00000000" w:rsidRDefault="00000000" w:rsidRPr="00000000" w14:paraId="00000108">
      <w:pPr>
        <w:widowControl w:val="0"/>
        <w:spacing w:after="0" w:line="360" w:lineRule="auto"/>
        <w:jc w:val="both"/>
        <w:rPr/>
      </w:pPr>
      <w:r w:rsidDel="00000000" w:rsidR="00000000" w:rsidRPr="00000000">
        <w:rPr>
          <w:rtl w:val="0"/>
        </w:rPr>
        <w:t xml:space="preserve">los autoservicios terminaran vendiendo el pavo a precios inferiores a los precios establecidos por San Fernando con sus clientes en el segmento corporativo, generaba que estos clientes, en campañas posteriores, prefieran comprar el pavo directamente en los autoservicios. Por dicho motivo, San Fernando habría buscado que el precio aplicado por los autoservicios no se encuentre por debajo del utilizado por dicho agente en el segmento corporativo . </w:t>
      </w:r>
    </w:p>
    <w:p w:rsidR="00000000" w:rsidDel="00000000" w:rsidP="00000000" w:rsidRDefault="00000000" w:rsidRPr="00000000" w14:paraId="00000109">
      <w:pPr>
        <w:widowControl w:val="0"/>
        <w:spacing w:after="0" w:line="360" w:lineRule="auto"/>
        <w:jc w:val="both"/>
        <w:rPr/>
      </w:pPr>
      <w:r w:rsidDel="00000000" w:rsidR="00000000" w:rsidRPr="00000000">
        <w:rPr>
          <w:rtl w:val="0"/>
        </w:rPr>
        <w:t xml:space="preserve">118. Por consiguiente, de la revisión de los actuados en el expediente, se concluye que: (i) San Fernando habría buscado impedir que el precio del pavo entero (de la marca San Fernando) aplicado por los autoservicios se encuentre por debajo o muy cerca del utilizado por dicha empresa en el segmento corporativo, o del precio de las marcas de sus competidores (para mantener su imagen de marca); (ii) en atención a ello, San Fernando habría implementado la política del PVPms de dicho pavo entero, el cual debía de ser aplicado por los autoservicios durante las campañas navideñas; y, (iii) si algún autoservicio incumplía con el PVPms informado por San Fernando, este último lo coaccionaba -con cortes de despacho o bloqueo de tarjetas - a fin de que cumplan con aplicar dicho precio. </w:t>
      </w:r>
    </w:p>
    <w:p w:rsidR="00000000" w:rsidDel="00000000" w:rsidP="00000000" w:rsidRDefault="00000000" w:rsidRPr="00000000" w14:paraId="0000010A">
      <w:pPr>
        <w:widowControl w:val="0"/>
        <w:spacing w:after="0" w:line="360" w:lineRule="auto"/>
        <w:jc w:val="both"/>
        <w:rPr/>
      </w:pPr>
      <w:r w:rsidDel="00000000" w:rsidR="00000000" w:rsidRPr="00000000">
        <w:rPr>
          <w:rtl w:val="0"/>
        </w:rPr>
        <w:t xml:space="preserve">119. Además, a criterio de este Colegiado, San Fernando tendría incentivos para establecer el PVPms, lo que explicaría que era quien se encontraba interesado en el mantenimiento de dicho precio mínimo de reventa y que, por el contrario, no se habría tratado de un precio concertado entre los autoservicios. </w:t>
      </w:r>
    </w:p>
    <w:p w:rsidR="00000000" w:rsidDel="00000000" w:rsidP="00000000" w:rsidRDefault="00000000" w:rsidRPr="00000000" w14:paraId="0000010B">
      <w:pPr>
        <w:widowControl w:val="0"/>
        <w:spacing w:after="0" w:line="360" w:lineRule="auto"/>
        <w:jc w:val="both"/>
        <w:rPr/>
      </w:pPr>
      <w:r w:rsidDel="00000000" w:rsidR="00000000" w:rsidRPr="00000000">
        <w:rPr>
          <w:rtl w:val="0"/>
        </w:rPr>
        <w:t xml:space="preserve">120. Ciertamente, los autoservicios habrían buscado tener mayor flexibilidad para establecer el precio del pavo entero en el canal moderno, pues San Fernando no aceptaba devoluciones por su política comercial98 y por la estacionalidad de la comercialización de dicho producto, de modo que los autoservicios solo lo podían vender en una corta ventana temporal. Por otro lado, si bien para San Fernando era importante vender toda su producción de pavo entero, o la mayor cantidad posible de este, también estaba interesado en mantener su posicionamiento como marca premium99, y proteger la rentabilidad del canal retail y especialmente el corporativo. Así, resulta razonable que San Fernando haya buscado establecer una posible restricción vertical respecto al precio de su producto (al fijar un precio mínimo), de modo que se logre un balance adecuado entre las ventas y la protección de su imagen de marca, entre otros objetivos. </w:t>
      </w:r>
    </w:p>
    <w:p w:rsidR="00000000" w:rsidDel="00000000" w:rsidP="00000000" w:rsidRDefault="00000000" w:rsidRPr="00000000" w14:paraId="0000010C">
      <w:pPr>
        <w:widowControl w:val="0"/>
        <w:spacing w:after="0" w:line="360" w:lineRule="auto"/>
        <w:jc w:val="both"/>
        <w:rPr/>
      </w:pPr>
      <w:r w:rsidDel="00000000" w:rsidR="00000000" w:rsidRPr="00000000">
        <w:rPr>
          <w:rtl w:val="0"/>
        </w:rPr>
        <w:t xml:space="preserve">121. Incluso, cabe destacar que, según la información presentada por San Fernando en su escrito del 21 de mayo de 2021 (ver Gráfico 3), en el año 2018 el volumen de pavo de la marca San Fernando vendido en la campaña navideña en supermercados fue [CONFIDENCIAL]. Por otro lado, según la Memoria Anual del año 2015 de San Fernando , su participación en el mercado de pavo entero era </w:t>
      </w:r>
    </w:p>
    <w:p w:rsidR="00000000" w:rsidDel="00000000" w:rsidP="00000000" w:rsidRDefault="00000000" w:rsidRPr="00000000" w14:paraId="0000010D">
      <w:pPr>
        <w:widowControl w:val="0"/>
        <w:spacing w:after="0" w:line="360" w:lineRule="auto"/>
        <w:jc w:val="both"/>
        <w:rPr/>
      </w:pPr>
      <w:r w:rsidDel="00000000" w:rsidR="00000000" w:rsidRPr="00000000">
        <w:rPr>
          <w:rtl w:val="0"/>
        </w:rPr>
        <w:t xml:space="preserve">del 75%. </w:t>
      </w:r>
    </w:p>
    <w:p w:rsidR="00000000" w:rsidDel="00000000" w:rsidP="00000000" w:rsidRDefault="00000000" w:rsidRPr="00000000" w14:paraId="0000010E">
      <w:pPr>
        <w:widowControl w:val="0"/>
        <w:spacing w:after="0" w:line="360" w:lineRule="auto"/>
        <w:jc w:val="both"/>
        <w:rPr/>
      </w:pPr>
      <w:r w:rsidDel="00000000" w:rsidR="00000000" w:rsidRPr="00000000">
        <w:rPr>
          <w:rtl w:val="0"/>
        </w:rPr>
        <w:t xml:space="preserve">122. Como se observa en el Gráfico 3, la baja representatividad que tienen las ventas del pavo de San Fernando a través de los autoservicios, indica que estos últimos no serían el canal más importante de ventas de dicha empresa para el referido producto. Por tanto, San Fernando tendría un poder de mercado o de negociación mayor al de los autoservicios, suficientemente alto como para establecer y hacer cumplir su política de precios mínimos sobre estos últimos. Es decir, no es posible concluir que los autoservicios habrían tenido suficiente poder de mercado (individual o colectivo) para inducir u obligar a San Fernando a establecer un precio mínimo de reventa (RPM) en función a los intereses de estas empresas, como podría ocurrir en una conducta de hub and spoke. </w:t>
      </w:r>
    </w:p>
    <w:p w:rsidR="00000000" w:rsidDel="00000000" w:rsidP="00000000" w:rsidRDefault="00000000" w:rsidRPr="00000000" w14:paraId="0000010F">
      <w:pPr>
        <w:widowControl w:val="0"/>
        <w:spacing w:after="0" w:line="360" w:lineRule="auto"/>
        <w:jc w:val="both"/>
        <w:rPr/>
      </w:pPr>
      <w:r w:rsidDel="00000000" w:rsidR="00000000" w:rsidRPr="00000000">
        <w:rPr>
          <w:rtl w:val="0"/>
        </w:rPr>
        <w:t xml:space="preserve">Gráfico 3: Distribución del volumen de pavo vendido por San Fernando en campaña en los distintos canales de venta en 2018 </w:t>
      </w:r>
    </w:p>
    <w:p w:rsidR="00000000" w:rsidDel="00000000" w:rsidP="00000000" w:rsidRDefault="00000000" w:rsidRPr="00000000" w14:paraId="00000110">
      <w:pPr>
        <w:widowControl w:val="0"/>
        <w:spacing w:after="0" w:line="360" w:lineRule="auto"/>
        <w:jc w:val="both"/>
        <w:rPr/>
      </w:pPr>
      <w:r w:rsidDel="00000000" w:rsidR="00000000" w:rsidRPr="00000000">
        <w:rPr>
          <w:rtl w:val="0"/>
        </w:rPr>
        <w:t xml:space="preserve">[CONFIDENCIAL] </w:t>
      </w:r>
    </w:p>
    <w:p w:rsidR="00000000" w:rsidDel="00000000" w:rsidP="00000000" w:rsidRDefault="00000000" w:rsidRPr="00000000" w14:paraId="00000111">
      <w:pPr>
        <w:widowControl w:val="0"/>
        <w:spacing w:after="0" w:line="360" w:lineRule="auto"/>
        <w:jc w:val="both"/>
        <w:rPr/>
      </w:pPr>
      <w:r w:rsidDel="00000000" w:rsidR="00000000" w:rsidRPr="00000000">
        <w:rPr>
          <w:rtl w:val="0"/>
        </w:rPr>
        <w:t xml:space="preserve">123. Por otro lado, en el expediente obran correos electrónicos en los que se verifica que los autoservicios, en algunos casos, presentaron quejas a San Fernando sobre el incumplimiento del PVPms por parte de otros autoservicios. A decir de la Comisión, ello responde a la configuración de un cártel bajo el esquema hub and spoke, pues tales comunicaciones tenían por finalidad que San Fernando se asegure que todas las cadenas de autoservicios respeten el PVPms o se comprometan a nivelarse bajo el entendido que otras cadenas cumplirían con dichos precios. </w:t>
      </w:r>
    </w:p>
    <w:p w:rsidR="00000000" w:rsidDel="00000000" w:rsidP="00000000" w:rsidRDefault="00000000" w:rsidRPr="00000000" w14:paraId="00000112">
      <w:pPr>
        <w:widowControl w:val="0"/>
        <w:spacing w:after="0" w:line="360" w:lineRule="auto"/>
        <w:jc w:val="both"/>
        <w:rPr/>
      </w:pPr>
      <w:r w:rsidDel="00000000" w:rsidR="00000000" w:rsidRPr="00000000">
        <w:rPr>
          <w:rtl w:val="0"/>
        </w:rPr>
        <w:t xml:space="preserve">124. A manera de ejemplo de los reclamos por parte de los autoservicios a San Fernando, a continuación, se detallan los correos SUP-11 y SUP-13: </w:t>
      </w:r>
    </w:p>
    <w:p w:rsidR="00000000" w:rsidDel="00000000" w:rsidP="00000000" w:rsidRDefault="00000000" w:rsidRPr="00000000" w14:paraId="00000113">
      <w:pPr>
        <w:widowControl w:val="0"/>
        <w:spacing w:after="0" w:line="360" w:lineRule="auto"/>
        <w:jc w:val="both"/>
        <w:rPr/>
      </w:pPr>
      <w:r w:rsidDel="00000000" w:rsidR="00000000" w:rsidRPr="00000000">
        <w:rPr>
          <w:rtl w:val="0"/>
        </w:rPr>
        <w:t xml:space="preserve">(i) En el correo SUP-11 del 11 de diciembre de 2013 (de Ricardo Solís de Supesa a Italo Buttiglione y Pablo Torres de San Fernando) se indica: “(…) vemos que a Tottus no le interesa el pacto, su comunicación es muy clara TODOS LOS JUEVES DE DICIEMBRE 20% DCTO [sic] EN TODOS LOS PAVOS ENTEROS (con foto de SF) en un periódico de alcance a nivel nacional…Como [sic] nos garantizan que no vuelva a sacar otro comunicado así [sic] las próximas semanas? Que [sic] acciones se van a tomar? ¿se va a cortar el despacho a Tottus?” </w:t>
      </w:r>
    </w:p>
    <w:p w:rsidR="00000000" w:rsidDel="00000000" w:rsidP="00000000" w:rsidRDefault="00000000" w:rsidRPr="00000000" w14:paraId="00000114">
      <w:pPr>
        <w:widowControl w:val="0"/>
        <w:spacing w:after="0" w:line="360" w:lineRule="auto"/>
        <w:jc w:val="both"/>
        <w:rPr/>
      </w:pPr>
      <w:r w:rsidDel="00000000" w:rsidR="00000000" w:rsidRPr="00000000">
        <w:rPr>
          <w:rtl w:val="0"/>
        </w:rPr>
        <w:t xml:space="preserve">(ii) En el correo SUP-13 de 20 de diciembre de 2015, de Rodrigo Vásquez-Mejía  de Supesa a Antonio Barandiarán de San Fernando, se señala: “(…) Esto es inaceptable. Nosotros hemos publicado el precio de lista sugerido por San Fernando, sin embargo ambos supermercados, Metro y Tottus, no lo han respetado. Vamos a igualar los precios de nuestra competencia y el diferencial perdido sera [sic] cobrado a San Fernando”. </w:t>
      </w:r>
    </w:p>
    <w:p w:rsidR="00000000" w:rsidDel="00000000" w:rsidP="00000000" w:rsidRDefault="00000000" w:rsidRPr="00000000" w14:paraId="00000115">
      <w:pPr>
        <w:widowControl w:val="0"/>
        <w:spacing w:after="0" w:line="360" w:lineRule="auto"/>
        <w:jc w:val="both"/>
        <w:rPr/>
      </w:pPr>
      <w:r w:rsidDel="00000000" w:rsidR="00000000" w:rsidRPr="00000000">
        <w:rPr>
          <w:rtl w:val="0"/>
        </w:rPr>
        <w:t xml:space="preserve">125. Al respecto, es importante recordar que, pese a que el PVPms fue presentado como un precio sugerido, los elementos de prueba evaluados en el presente pronunciamiento muestran que -en realidad- San Fernando exigió que los autoservicios respetaran el precio fijado por dicho proveedor, amenazando con la imposición de sanciones o castigos en caso de incumplimiento. </w:t>
      </w:r>
    </w:p>
    <w:p w:rsidR="00000000" w:rsidDel="00000000" w:rsidP="00000000" w:rsidRDefault="00000000" w:rsidRPr="00000000" w14:paraId="00000116">
      <w:pPr>
        <w:widowControl w:val="0"/>
        <w:spacing w:after="0" w:line="360" w:lineRule="auto"/>
        <w:jc w:val="both"/>
        <w:rPr/>
      </w:pPr>
      <w:r w:rsidDel="00000000" w:rsidR="00000000" w:rsidRPr="00000000">
        <w:rPr>
          <w:rtl w:val="0"/>
        </w:rPr>
        <w:t xml:space="preserve">126. Bajo este contexto, esta Sala considera que el hecho de que ciertos autoservicios hayan presentado reclamos o quejas a San Fernando al advertir el incumplimiento por parte de otros autoservicios, se trataría de una respuesta ante las exigencias </w:t>
      </w:r>
    </w:p>
    <w:p w:rsidR="00000000" w:rsidDel="00000000" w:rsidP="00000000" w:rsidRDefault="00000000" w:rsidRPr="00000000" w14:paraId="00000117">
      <w:pPr>
        <w:widowControl w:val="0"/>
        <w:spacing w:after="0" w:line="360" w:lineRule="auto"/>
        <w:jc w:val="both"/>
        <w:rPr/>
      </w:pPr>
      <w:r w:rsidDel="00000000" w:rsidR="00000000" w:rsidRPr="00000000">
        <w:rPr>
          <w:rtl w:val="0"/>
        </w:rPr>
        <w:t xml:space="preserve">de San Fernando para que cumplan con el PVPms establecido por dicho agente </w:t>
      </w:r>
    </w:p>
    <w:p w:rsidR="00000000" w:rsidDel="00000000" w:rsidP="00000000" w:rsidRDefault="00000000" w:rsidRPr="00000000" w14:paraId="00000118">
      <w:pPr>
        <w:widowControl w:val="0"/>
        <w:spacing w:after="0" w:line="360" w:lineRule="auto"/>
        <w:jc w:val="both"/>
        <w:rPr/>
      </w:pPr>
      <w:r w:rsidDel="00000000" w:rsidR="00000000" w:rsidRPr="00000000">
        <w:rPr>
          <w:rtl w:val="0"/>
        </w:rPr>
        <w:t xml:space="preserve">y no necesariamente evidencia una presunta práctica colusoria horizontal, sujeta a prohibición absoluta, entre tales agentes. </w:t>
      </w:r>
    </w:p>
    <w:p w:rsidR="00000000" w:rsidDel="00000000" w:rsidP="00000000" w:rsidRDefault="00000000" w:rsidRPr="00000000" w14:paraId="00000119">
      <w:pPr>
        <w:widowControl w:val="0"/>
        <w:spacing w:after="0" w:line="360" w:lineRule="auto"/>
        <w:jc w:val="both"/>
        <w:rPr/>
      </w:pPr>
      <w:r w:rsidDel="00000000" w:rsidR="00000000" w:rsidRPr="00000000">
        <w:rPr>
          <w:rtl w:val="0"/>
        </w:rPr>
        <w:t xml:space="preserve">127. Además, como señala la OECD, cuando la RPM es iniciada por un fabricante, es mucho menos probable que la colusión horizontal sea el motivo de esta, que cuando la RPM es iniciada por un distribuidor o un grupo de distribuidores102. </w:t>
      </w:r>
    </w:p>
    <w:p w:rsidR="00000000" w:rsidDel="00000000" w:rsidP="00000000" w:rsidRDefault="00000000" w:rsidRPr="00000000" w14:paraId="0000011A">
      <w:pPr>
        <w:widowControl w:val="0"/>
        <w:spacing w:after="0" w:line="360" w:lineRule="auto"/>
        <w:jc w:val="both"/>
        <w:rPr/>
      </w:pPr>
      <w:r w:rsidDel="00000000" w:rsidR="00000000" w:rsidRPr="00000000">
        <w:rPr>
          <w:rtl w:val="0"/>
        </w:rPr>
        <w:t xml:space="preserve">128. Así pues, si bien la presentación de reclamos por el incumplimiento de cierta condición ante un agente que se encuentra en otro eslabón de la cadena podría producirse en el marco de un cártel bajo el esquema hub and spoke, dicha característica no es exclusiva de tal conducta, sino que también puede estar presente en otras conductas, como las restricciones verticales. </w:t>
      </w:r>
    </w:p>
    <w:p w:rsidR="00000000" w:rsidDel="00000000" w:rsidP="00000000" w:rsidRDefault="00000000" w:rsidRPr="00000000" w14:paraId="0000011B">
      <w:pPr>
        <w:widowControl w:val="0"/>
        <w:spacing w:after="0" w:line="360" w:lineRule="auto"/>
        <w:jc w:val="both"/>
        <w:rPr/>
      </w:pPr>
      <w:r w:rsidDel="00000000" w:rsidR="00000000" w:rsidRPr="00000000">
        <w:rPr>
          <w:rtl w:val="0"/>
        </w:rPr>
        <w:t xml:space="preserve">129. En efecto, es importante recordar que, en la experiencia comparada, otras autoridades de competencia también han evaluado casos en los que el proveedor estableció un precio de reventa a sus distribuidores o retailers (el cual en los hechos era obligatorio, pese a presentarse como un precio “sugerido” o “recomendado”) y estos a su vez le trasladaban reclamos cuando advertían que alguno de sus competidores no cumplía con el precio establecido por dicho proveedor. En tales casos, las autoridades de competencia de Países Bajos y Alemania, respectivamente, identificaron una restricción vertical por parte del proveedor consistente en mantener un precio de reventa o RPM y no un acuerdo </w:t>
      </w:r>
    </w:p>
    <w:p w:rsidR="00000000" w:rsidDel="00000000" w:rsidP="00000000" w:rsidRDefault="00000000" w:rsidRPr="00000000" w14:paraId="0000011C">
      <w:pPr>
        <w:widowControl w:val="0"/>
        <w:spacing w:after="0" w:line="360" w:lineRule="auto"/>
        <w:jc w:val="both"/>
        <w:rPr/>
      </w:pPr>
      <w:r w:rsidDel="00000000" w:rsidR="00000000" w:rsidRPr="00000000">
        <w:rPr>
          <w:rtl w:val="0"/>
        </w:rPr>
        <w:t xml:space="preserve">horizontal entre los distribuidores o retailers. </w:t>
      </w:r>
    </w:p>
    <w:p w:rsidR="00000000" w:rsidDel="00000000" w:rsidP="00000000" w:rsidRDefault="00000000" w:rsidRPr="00000000" w14:paraId="0000011D">
      <w:pPr>
        <w:widowControl w:val="0"/>
        <w:spacing w:after="0" w:line="360" w:lineRule="auto"/>
        <w:jc w:val="both"/>
        <w:rPr/>
      </w:pPr>
      <w:r w:rsidDel="00000000" w:rsidR="00000000" w:rsidRPr="00000000">
        <w:rPr>
          <w:rtl w:val="0"/>
        </w:rPr>
        <w:t xml:space="preserve">130. En tal sentido, el comportamiento de los autoservicios al presentar reclamos o quejas ante San Fernando sobre el incumplimiento del precio por parte de sus pares no conlleva determinar la realización de una colusión horizontal para fijar el precio de venta del pavo entero entre los autoservicios, más aún si se tiene en cuenta que en el presente caso San Fernando habría sido quien estableció el PVPms durante las campañas navideñas del periodo investigado a fin de cautelar su interés particular (como el prestigio de su marca) y habría exigido que los autoservicios cumplan con respetar el referido PVPms. </w:t>
      </w:r>
    </w:p>
    <w:p w:rsidR="00000000" w:rsidDel="00000000" w:rsidP="00000000" w:rsidRDefault="00000000" w:rsidRPr="00000000" w14:paraId="0000011E">
      <w:pPr>
        <w:widowControl w:val="0"/>
        <w:spacing w:after="0" w:line="360" w:lineRule="auto"/>
        <w:jc w:val="both"/>
        <w:rPr/>
      </w:pPr>
      <w:r w:rsidDel="00000000" w:rsidR="00000000" w:rsidRPr="00000000">
        <w:rPr>
          <w:rtl w:val="0"/>
        </w:rPr>
        <w:t xml:space="preserve">131. A mayor abundamiento, los correos MAK-04 y MAK-06 del 30 de noviembre de 2012, muestran una queja de Makro ante San Fernando debido a que el autoservicio Mayorsa, que no fue incluido por la primera instancia como parte de la supuesta práctica colusoria horizontal, tenía precios hasta 13% más bajos, añadiendo Makro que solo había podido colocar el 10% de los productos de San Fernando (en referencia al pavo entero de dicha marca), y que con tales precios de Mayorsa le sería todavía más difícil que puedan vender el producto en cuestión. Lo anterior muestra que las quejas de los autoservicios no habrían consistido necesariamente en un mecanismo de supervisión de los agentes que habrían participado en la supuesta práctica colusoria horizontal, sino que -al involucrar a otros autoservicios que comercializaban el pavo entero San Fernando-, pudo tratarse de un reclamo por el incumplimiento del PVPms que San Fernando habría impuesto a los autoservicios. </w:t>
      </w:r>
    </w:p>
    <w:p w:rsidR="00000000" w:rsidDel="00000000" w:rsidP="00000000" w:rsidRDefault="00000000" w:rsidRPr="00000000" w14:paraId="0000011F">
      <w:pPr>
        <w:widowControl w:val="0"/>
        <w:spacing w:after="0" w:line="360" w:lineRule="auto"/>
        <w:jc w:val="both"/>
        <w:rPr/>
      </w:pPr>
      <w:r w:rsidDel="00000000" w:rsidR="00000000" w:rsidRPr="00000000">
        <w:rPr>
          <w:rtl w:val="0"/>
        </w:rPr>
        <w:t xml:space="preserve">132. Por otro lado, de acuerdo con la primera instancia, en la medida que los autoservicios eran informados por el proveedor sobre el conocimiento y cumplimiento del PVPms por parte del resto de los competidores, se generaba una expectativa entre ellos sobre un cumplimiento efectivo, lo cual implicaría la existencia de un acuerdo prestablecido y no la sola comunicación entre un proveedor y un retailer, por lo que se evidenciaría la configuración de un cártel bajo el esquema hub and spoke. </w:t>
      </w:r>
    </w:p>
    <w:p w:rsidR="00000000" w:rsidDel="00000000" w:rsidP="00000000" w:rsidRDefault="00000000" w:rsidRPr="00000000" w14:paraId="00000120">
      <w:pPr>
        <w:widowControl w:val="0"/>
        <w:spacing w:after="0" w:line="360" w:lineRule="auto"/>
        <w:jc w:val="both"/>
        <w:rPr/>
      </w:pPr>
      <w:r w:rsidDel="00000000" w:rsidR="00000000" w:rsidRPr="00000000">
        <w:rPr>
          <w:rtl w:val="0"/>
        </w:rPr>
        <w:t xml:space="preserve">133. En atención a lo señalado en el marco teórico del presente pronunciamiento, en un cártel bajo el esquema hub and spoke, el acuerdo colusorio proviene de los spokes. Dicho acuerdo es puesto en conocimiento del hub, a partir de lo cual este último funge como un facilitador de tal acuerdo, mediante el traslado de información entre los spokes y supervisando el cumplimiento de lo acordado por parte de estos. </w:t>
      </w:r>
    </w:p>
    <w:p w:rsidR="00000000" w:rsidDel="00000000" w:rsidP="00000000" w:rsidRDefault="00000000" w:rsidRPr="00000000" w14:paraId="00000121">
      <w:pPr>
        <w:widowControl w:val="0"/>
        <w:spacing w:after="0" w:line="360" w:lineRule="auto"/>
        <w:jc w:val="both"/>
        <w:rPr/>
      </w:pPr>
      <w:r w:rsidDel="00000000" w:rsidR="00000000" w:rsidRPr="00000000">
        <w:rPr>
          <w:rtl w:val="0"/>
        </w:rPr>
        <w:t xml:space="preserve">134. Teniendo ello en cuenta, de la revisión del expediente, no se verifica algún medio probatorio que acredite fehacientemente que los autoservicios fueron quienes acordaron el PVPms para el pavo entero de la marca San Fernando para cada una de las campañas navideñas del período investigado, ni que hayan utilizado a este último como intermediario o facilitador de un acuerdo para fijar el precio de venta del pavo entero San Fernando. Por el contrario, conforme se ha señalado en el presente pronunciamiento, se aprecia que habría sido San Fernando quien, al inicio de cada campaña navideña, determinaba e indicaba a los autoservicios cuál sería el precio para el pavo entero de su marca, además de otras condiciones, como las referidas al marketing a usar en las campañas promocionales. </w:t>
      </w:r>
    </w:p>
    <w:p w:rsidR="00000000" w:rsidDel="00000000" w:rsidP="00000000" w:rsidRDefault="00000000" w:rsidRPr="00000000" w14:paraId="00000122">
      <w:pPr>
        <w:widowControl w:val="0"/>
        <w:spacing w:after="0" w:line="360" w:lineRule="auto"/>
        <w:jc w:val="both"/>
        <w:rPr/>
      </w:pPr>
      <w:r w:rsidDel="00000000" w:rsidR="00000000" w:rsidRPr="00000000">
        <w:rPr>
          <w:rtl w:val="0"/>
        </w:rPr>
        <w:t xml:space="preserve">135. En atención a ello, en el presente caso se verifica una serie de comunicaciones unilaterales efectuadas por San Fernando con cada autoservicio, informándoles el PVPms determinado por dicha empresa y exigiéndoles su cumplimiento. En ese sentido, en los supuestos en los que San Fernando detectara algún incumplimiento del precio por parte de alguno de los autoservicios, procedía a requerir su cumplimiento, efectuando amenazas, como, por ejemplo, de corte o restricción de despacho, a fin de que cumplan con el precio indicado. </w:t>
      </w:r>
    </w:p>
    <w:p w:rsidR="00000000" w:rsidDel="00000000" w:rsidP="00000000" w:rsidRDefault="00000000" w:rsidRPr="00000000" w14:paraId="00000123">
      <w:pPr>
        <w:widowControl w:val="0"/>
        <w:spacing w:after="0" w:line="360" w:lineRule="auto"/>
        <w:jc w:val="both"/>
        <w:rPr/>
      </w:pPr>
      <w:r w:rsidDel="00000000" w:rsidR="00000000" w:rsidRPr="00000000">
        <w:rPr>
          <w:rtl w:val="0"/>
        </w:rPr>
        <w:t xml:space="preserve">136. Así, al margen de que los autoservicios hubiesen tenido conocimiento de que San Fernando indicaba a cada uno el PVPms al inicio de cada campaña navideña, ello no desvirtúa que San Fernando fue quien fijó y monitoreó el PVPms del pavo entero durante las campañas navideñas del 2009 al 2016, tal como se ha explicado en los párrafos precedentes, por lo que no se trató de un mero facilitador que se haya encargado de trasladar información entre los autoservicios para hacer viable un acuerdo de precios entre dichos agentes. </w:t>
      </w:r>
    </w:p>
    <w:p w:rsidR="00000000" w:rsidDel="00000000" w:rsidP="00000000" w:rsidRDefault="00000000" w:rsidRPr="00000000" w14:paraId="00000124">
      <w:pPr>
        <w:widowControl w:val="0"/>
        <w:spacing w:after="0" w:line="360" w:lineRule="auto"/>
        <w:jc w:val="both"/>
        <w:rPr/>
      </w:pPr>
      <w:r w:rsidDel="00000000" w:rsidR="00000000" w:rsidRPr="00000000">
        <w:rPr>
          <w:rtl w:val="0"/>
        </w:rPr>
        <w:t xml:space="preserve">137. En atención a lo expuesto, en este caso la fijación del PVPms del pavo entero San Fernando a nivel nacional en las campañas navideñas del 2009 al 2016 no califica como una presunta práctica colusoria horizontal inter marca, sujeta a prohibición absoluta, imputada a los autoservicios y presuntamente facilitada por San Fernando, sino que eventualmente se habría tratado de una posible restricción vertical que habría sido implementada por dicho agente económico con incidencia en la competencia aguas abajo, al involucrar el precio de venta del pavo entero San Fernando de los autoservicios a los consumidores finales. </w:t>
      </w:r>
    </w:p>
    <w:p w:rsidR="00000000" w:rsidDel="00000000" w:rsidP="00000000" w:rsidRDefault="00000000" w:rsidRPr="00000000" w14:paraId="00000125">
      <w:pPr>
        <w:widowControl w:val="0"/>
        <w:spacing w:after="0" w:line="360" w:lineRule="auto"/>
        <w:jc w:val="both"/>
        <w:rPr/>
      </w:pPr>
      <w:r w:rsidDel="00000000" w:rsidR="00000000" w:rsidRPr="00000000">
        <w:rPr>
          <w:rtl w:val="0"/>
        </w:rPr>
        <w:t xml:space="preserve">138. Además, dado que los hechos bajo análisis habrían configurado una eventual restricción vertical que tuvo efectos sobre la competencia entre los autoservicios en la comercialización del pavo entero San Fernando, la Sala aprecia que se habría tratado de una restricción vertical que habría afectado la competencia intra marca entre estos agentes y no una colusión horizontal con efectos en la competencia inter marca, como sostuvo la primera instancia. </w:t>
      </w:r>
    </w:p>
    <w:p w:rsidR="00000000" w:rsidDel="00000000" w:rsidP="00000000" w:rsidRDefault="00000000" w:rsidRPr="00000000" w14:paraId="00000126">
      <w:pPr>
        <w:widowControl w:val="0"/>
        <w:spacing w:after="0" w:line="360" w:lineRule="auto"/>
        <w:jc w:val="both"/>
        <w:rPr/>
      </w:pPr>
      <w:r w:rsidDel="00000000" w:rsidR="00000000" w:rsidRPr="00000000">
        <w:rPr>
          <w:rtl w:val="0"/>
        </w:rPr>
        <w:t xml:space="preserve">139. En este punto la Sala considera que, en tanto la presunta restricción vertical identificada en el presente caso procede de una decisión del proveedor, el hecho de que los autoservicios cuenten con una supuesta política marcaria independiente no determina que dicha restricción vertical haya afectado la competencia inter marca, pues esta solo involucró el precio de venta de un producto comercializado bajo una misma marca (pavo entero San Fernando). En ese sentido, la presencia o no de una política marcaria de cada uno de los distribuidores, en el marco de la presunta restricción vertical identificada en el presente caso, no es un elemento previsto en la Ley de Represión de Conductas Anticompetitivas que determine que esta se encuentre sujeta a la prohibición absoluta. </w:t>
      </w:r>
    </w:p>
    <w:p w:rsidR="00000000" w:rsidDel="00000000" w:rsidP="00000000" w:rsidRDefault="00000000" w:rsidRPr="00000000" w14:paraId="00000127">
      <w:pPr>
        <w:widowControl w:val="0"/>
        <w:spacing w:after="0" w:line="360" w:lineRule="auto"/>
        <w:jc w:val="both"/>
        <w:rPr/>
      </w:pPr>
      <w:r w:rsidDel="00000000" w:rsidR="00000000" w:rsidRPr="00000000">
        <w:rPr>
          <w:rtl w:val="0"/>
        </w:rPr>
        <w:t xml:space="preserve">140. La imputación de cargos y la investigación realizadas en primera instancia vulneraron el principio de tipicidad, al considerar una presunta restricción vertical con potenciales efectos sobre la competencia intra marca (venta de la marca Pavo entero San Fernando), sujeta a una prohibición relativa, como si fuese una práctica colusoria horizontal entre los autoservicios que restringió la competencia inter marca y sujeta a la prohibición absoluta, utilizando para ello supuestos no previstos en nuestro ordenamiento jurídico. </w:t>
      </w:r>
    </w:p>
    <w:p w:rsidR="00000000" w:rsidDel="00000000" w:rsidP="00000000" w:rsidRDefault="00000000" w:rsidRPr="00000000" w14:paraId="00000128">
      <w:pPr>
        <w:widowControl w:val="0"/>
        <w:spacing w:after="0" w:line="360" w:lineRule="auto"/>
        <w:jc w:val="both"/>
        <w:rPr/>
      </w:pPr>
      <w:r w:rsidDel="00000000" w:rsidR="00000000" w:rsidRPr="00000000">
        <w:rPr>
          <w:rtl w:val="0"/>
        </w:rPr>
        <w:t xml:space="preserve">141. De acuerdo con el artículo 11.2 del TUO de la LRCA , solo estarán sujetas a prohibición absoluta las prácticas colusorias horizontales inter marca contempladas en dicha disposición legal y que tengan por objeto: (i) fijar precios u otras condiciones comerciales o de servicio; (ii) limitar la producción o las ventas, en particular por medios de cuotas; (iii) el reparto de clientes, proveedores o zonas geográficas; o, (iv) establecer posturas o abstenciones en licitaciones, concursos u otra forma de contratación o adquisición pública prevista en la legislación pertinente, así como en subastas públicas y remates. De este modo, el resto de conductas anticompetitivas (las demás prácticas colusorias horizontales, las prácticas colusorias verticales o el abuso de posición de dominio) estarán sujetas a prohibición relativa. </w:t>
      </w:r>
    </w:p>
    <w:p w:rsidR="00000000" w:rsidDel="00000000" w:rsidP="00000000" w:rsidRDefault="00000000" w:rsidRPr="00000000" w14:paraId="00000129">
      <w:pPr>
        <w:widowControl w:val="0"/>
        <w:spacing w:after="0" w:line="360" w:lineRule="auto"/>
        <w:jc w:val="both"/>
        <w:rPr/>
      </w:pPr>
      <w:r w:rsidDel="00000000" w:rsidR="00000000" w:rsidRPr="00000000">
        <w:rPr>
          <w:rtl w:val="0"/>
        </w:rPr>
        <w:t xml:space="preserve">142. Ahora bien, la figura del facilitador, intermediario o planificador, imputada en este caso a San Fernando -para los años 2015 y 2016-, se encuentra reservada para la participación en conductas sujetas a prohibición absoluta, conforme lo señala el artículo 2.4 del TUO de la LRCA.</w:t>
      </w:r>
    </w:p>
    <w:p w:rsidR="00000000" w:rsidDel="00000000" w:rsidP="00000000" w:rsidRDefault="00000000" w:rsidRPr="00000000" w14:paraId="0000012A">
      <w:pPr>
        <w:widowControl w:val="0"/>
        <w:spacing w:after="0" w:line="360" w:lineRule="auto"/>
        <w:jc w:val="both"/>
        <w:rPr/>
      </w:pPr>
      <w:r w:rsidDel="00000000" w:rsidR="00000000" w:rsidRPr="00000000">
        <w:rPr>
          <w:rtl w:val="0"/>
        </w:rPr>
        <w:t xml:space="preserve">143. Debido a que en el presente caso este Colegiado ha determinado que los hechos imputados no configurarían una presunta práctica colusoria horizontal inter marca para fijar el precio de venta del pavo entero San Fernando, estos no debieron ser imputados como una presunta conducta anticompetitiva sujeta a prohibición absoluta, sino como una eventual restricción vertical, sujeta a la prohibición relativa, por lo que dicha imputación resultaría contraria a lo dispuesto en el artículo 11.2 literal a) del TUO de la LRCA. </w:t>
      </w:r>
    </w:p>
    <w:p w:rsidR="00000000" w:rsidDel="00000000" w:rsidP="00000000" w:rsidRDefault="00000000" w:rsidRPr="00000000" w14:paraId="0000012B">
      <w:pPr>
        <w:widowControl w:val="0"/>
        <w:spacing w:after="0" w:line="360" w:lineRule="auto"/>
        <w:jc w:val="both"/>
        <w:rPr/>
      </w:pPr>
      <w:r w:rsidDel="00000000" w:rsidR="00000000" w:rsidRPr="00000000">
        <w:rPr>
          <w:rtl w:val="0"/>
        </w:rPr>
        <w:t xml:space="preserve">144. Es importante señalar que uno de los principios que rige el procedimiento administrativo sancionador es el principio de tipicidad , recogido en el numeral 4 del artículo 248 del TUO de la Ley 27444, según el cual solo son sancionables las infracciones previstas expresamente en una norma con rango de ley o en una norma reglamentaria, en caso de contarse con la habilitación legal correspondiente, sin admitir interpretación extensiva o analogía. </w:t>
      </w:r>
    </w:p>
    <w:p w:rsidR="00000000" w:rsidDel="00000000" w:rsidP="00000000" w:rsidRDefault="00000000" w:rsidRPr="00000000" w14:paraId="0000012C">
      <w:pPr>
        <w:widowControl w:val="0"/>
        <w:spacing w:after="0" w:line="360" w:lineRule="auto"/>
        <w:jc w:val="both"/>
        <w:rPr/>
      </w:pPr>
      <w:r w:rsidDel="00000000" w:rsidR="00000000" w:rsidRPr="00000000">
        <w:rPr>
          <w:rtl w:val="0"/>
        </w:rPr>
        <w:t xml:space="preserve">145. Así, en armonía con la garantía constitucional y legal de tipicidad que debe guiar todo procedimiento sancionador , corresponde a la autoridad administrativa, en su resolución de imputación de cargos, elegir el tipo preciso que corresponde a la conducta presuntamente infractora. </w:t>
      </w:r>
    </w:p>
    <w:p w:rsidR="00000000" w:rsidDel="00000000" w:rsidP="00000000" w:rsidRDefault="00000000" w:rsidRPr="00000000" w14:paraId="0000012D">
      <w:pPr>
        <w:widowControl w:val="0"/>
        <w:spacing w:after="0" w:line="360" w:lineRule="auto"/>
        <w:jc w:val="both"/>
        <w:rPr/>
      </w:pPr>
      <w:r w:rsidDel="00000000" w:rsidR="00000000" w:rsidRPr="00000000">
        <w:rPr>
          <w:rtl w:val="0"/>
        </w:rPr>
        <w:t xml:space="preserve">146. Por tanto, al haber calificado bajo la prohibición absoluta las conductas que sustentaron el inicio del presente procedimiento, pese a que estas no configuraban una presunta práctica colusoria horizontal en la modalidad de fijación de precios, la Resolución de Inicio contraviene el artículo 11.2 literal a) del TUO de la LRCA y el principio de tipicidad previsto en el numeral 4 del artículo 248 del TUO de la Ley 27444. </w:t>
      </w:r>
    </w:p>
    <w:p w:rsidR="00000000" w:rsidDel="00000000" w:rsidP="00000000" w:rsidRDefault="00000000" w:rsidRPr="00000000" w14:paraId="0000012E">
      <w:pPr>
        <w:widowControl w:val="0"/>
        <w:spacing w:after="0" w:line="360" w:lineRule="auto"/>
        <w:jc w:val="both"/>
        <w:rPr/>
      </w:pPr>
      <w:r w:rsidDel="00000000" w:rsidR="00000000" w:rsidRPr="00000000">
        <w:rPr>
          <w:rtl w:val="0"/>
        </w:rPr>
        <w:t xml:space="preserve">147. El numeral 1 del artículo 10 del TUO de la Ley 27444 establece que una de las causales de nulidad del acto administrativo consiste en la contravención de la Constitución Política del Perú, las leyes y las normas reglamentarias109. </w:t>
      </w:r>
    </w:p>
    <w:p w:rsidR="00000000" w:rsidDel="00000000" w:rsidP="00000000" w:rsidRDefault="00000000" w:rsidRPr="00000000" w14:paraId="0000012F">
      <w:pPr>
        <w:widowControl w:val="0"/>
        <w:spacing w:after="0" w:line="360" w:lineRule="auto"/>
        <w:jc w:val="both"/>
        <w:rPr/>
      </w:pPr>
      <w:r w:rsidDel="00000000" w:rsidR="00000000" w:rsidRPr="00000000">
        <w:rPr>
          <w:rtl w:val="0"/>
        </w:rPr>
        <w:t xml:space="preserve">148. Con base en lo antes desarrollado, la Resolución de Inicio se encuentra incursa en dicha causal de nulidad, al haber contravenido el artículo 11.2 literal a) del TUO de la LRCA y el principio de tipicidad previsto en el numeral 4 del artículo 248 del TUO de la Ley 27444. </w:t>
      </w:r>
    </w:p>
    <w:p w:rsidR="00000000" w:rsidDel="00000000" w:rsidP="00000000" w:rsidRDefault="00000000" w:rsidRPr="00000000" w14:paraId="00000130">
      <w:pPr>
        <w:widowControl w:val="0"/>
        <w:spacing w:after="0" w:line="360" w:lineRule="auto"/>
        <w:jc w:val="both"/>
        <w:rPr/>
      </w:pPr>
      <w:r w:rsidDel="00000000" w:rsidR="00000000" w:rsidRPr="00000000">
        <w:rPr>
          <w:rtl w:val="0"/>
        </w:rPr>
        <w:t xml:space="preserve">149. En tal sentido, corresponde declarar la nulidad parcial de la referida resolución en los extremos mediante los cuales: (i) imputó a Cencosud, Makro, Supesa y Tottus el haber incurrido en una presunta práctica colusoria horizontal -sujeta a prohibición absoluta- en la modalidad de acuerdo para la fijación de precios en el mercado de comercialización de pavo entero San Fernando a nivel nacional entre los años 2009 a 2016; e, (ii) imputó a San Fernando la presunta participación como planificador, intermediario o facilitador entre los años 2015 y 2016 de la referida práctica colusoria horizontal. </w:t>
      </w:r>
    </w:p>
    <w:p w:rsidR="00000000" w:rsidDel="00000000" w:rsidP="00000000" w:rsidRDefault="00000000" w:rsidRPr="00000000" w14:paraId="00000131">
      <w:pPr>
        <w:widowControl w:val="0"/>
        <w:spacing w:after="0" w:line="360" w:lineRule="auto"/>
        <w:jc w:val="both"/>
        <w:rPr/>
      </w:pPr>
      <w:r w:rsidDel="00000000" w:rsidR="00000000" w:rsidRPr="00000000">
        <w:rPr>
          <w:rtl w:val="0"/>
        </w:rPr>
        <w:t xml:space="preserve">150. Adicionalmente, en aplicación del numeral 13.1 del artículo 13 del TUO de la Ley 27444, se dejan sin efecto los extremos de la Resolución 014-2022/CLC </w:t>
      </w:r>
    </w:p>
    <w:p w:rsidR="00000000" w:rsidDel="00000000" w:rsidP="00000000" w:rsidRDefault="00000000" w:rsidRPr="00000000" w14:paraId="00000132">
      <w:pPr>
        <w:widowControl w:val="0"/>
        <w:spacing w:after="0" w:line="360" w:lineRule="auto"/>
        <w:jc w:val="both"/>
        <w:rPr/>
      </w:pPr>
      <w:r w:rsidDel="00000000" w:rsidR="00000000" w:rsidRPr="00000000">
        <w:rPr>
          <w:rtl w:val="0"/>
        </w:rPr>
        <w:t xml:space="preserve">INDECOPI del 25 de marzo de 2022 vinculados a estas imputaciones, correspondientes a la sanción y medida correctiva impuestas a Cencosud, Makro, Tottus, Supesa y San Fernando. </w:t>
      </w:r>
    </w:p>
    <w:p w:rsidR="00000000" w:rsidDel="00000000" w:rsidP="00000000" w:rsidRDefault="00000000" w:rsidRPr="00000000" w14:paraId="00000133">
      <w:pPr>
        <w:widowControl w:val="0"/>
        <w:spacing w:after="0" w:line="360" w:lineRule="auto"/>
        <w:jc w:val="both"/>
        <w:rPr/>
      </w:pPr>
      <w:r w:rsidDel="00000000" w:rsidR="00000000" w:rsidRPr="00000000">
        <w:rPr>
          <w:rtl w:val="0"/>
        </w:rPr>
        <w:t xml:space="preserve">151. Finalmente, en caso la Dirección (antes Secretaría Técnica de la Comisión) halle indicios de alguna presunta conducta anticompetitiva distinta a la que fue objeto de imputación en la Resolución 048-2020/ST-CLC-INDECOPI, esta Sala considera importante recordar que dicho órgano, en el marco de su autonomía técnica, cuenta con las atribuciones legales para iniciar de oficio el procedimiento de investigación y sanción de conductas anticompetitivas a que hubiere lugar. </w:t>
      </w:r>
    </w:p>
    <w:p w:rsidR="00000000" w:rsidDel="00000000" w:rsidP="00000000" w:rsidRDefault="00000000" w:rsidRPr="00000000" w14:paraId="00000134">
      <w:pPr>
        <w:widowControl w:val="0"/>
        <w:spacing w:after="0" w:line="360" w:lineRule="auto"/>
        <w:jc w:val="both"/>
        <w:rPr/>
      </w:pPr>
      <w:r w:rsidDel="00000000" w:rsidR="00000000" w:rsidRPr="00000000">
        <w:rPr>
          <w:rtl w:val="0"/>
        </w:rPr>
        <w:t xml:space="preserve">IV. RESOLUCIÓN DE LA SALA </w:t>
      </w:r>
    </w:p>
    <w:p w:rsidR="00000000" w:rsidDel="00000000" w:rsidP="00000000" w:rsidRDefault="00000000" w:rsidRPr="00000000" w14:paraId="00000135">
      <w:pPr>
        <w:widowControl w:val="0"/>
        <w:spacing w:after="0" w:line="360" w:lineRule="auto"/>
        <w:jc w:val="both"/>
        <w:rPr/>
      </w:pPr>
      <w:r w:rsidDel="00000000" w:rsidR="00000000" w:rsidRPr="00000000">
        <w:rPr>
          <w:rtl w:val="0"/>
        </w:rPr>
        <w:t xml:space="preserve">PRIMERO: declarar la reserva y confidencialidad de la información presentada por Supermercados Peruanos S.A. en su escrito del 24 de octubre de 2023, referida a la propuesta de honorarios para las capacitaciones sobre la normativa de libre competencia a sus trabajadores para los años 2021, 2022 y 2023, contenidos en los anexos B, C y D de dicho escrito, respectivamente. </w:t>
      </w:r>
    </w:p>
    <w:p w:rsidR="00000000" w:rsidDel="00000000" w:rsidP="00000000" w:rsidRDefault="00000000" w:rsidRPr="00000000" w14:paraId="00000136">
      <w:pPr>
        <w:widowControl w:val="0"/>
        <w:spacing w:after="0" w:line="360" w:lineRule="auto"/>
        <w:jc w:val="both"/>
        <w:rPr/>
      </w:pPr>
      <w:r w:rsidDel="00000000" w:rsidR="00000000" w:rsidRPr="00000000">
        <w:rPr>
          <w:rtl w:val="0"/>
        </w:rPr>
        <w:t xml:space="preserve">SEGUNDO: declarar la nulidad parcial de la Resolución 048-2020/ST-CLC-INDECOPI del 9 de diciembre de 2020 en los extremos que dispuso: (i) el inicio de un procedimiento administrativo sancionador contra Cencosud Retail Perú S.A., Makro Supermayorista S.A., Supermercados Peruanos S.A. e Hipermercados Tottus S.A. por la presunta realización de una práctica colusoria horizontal en la modalidad de acuerdo para la fijación de precios en el mercado de comercialización de pavo entero San Fernando a nivel nacional, durante el periodo comprendido entre los años 2009 a 2016, infracción tipificada en los artículos 1 y 11.1 literal a) del Texto Único Ordenado de la Ley de Represión de Conductas Anticompetitivas y sujeta a prohibición absoluta conforme a lo dispuesto en el artículo 11.2 literal a) de dicha ley; y, (ii) el inicio de un procedimiento administrativo sancionador contra San Fernando S.A. por su presunta participación como planificador, intermediario o facilitador, entre los años 2015 y 2016, de la presunta práctica colusoria horizontal indicada en el primer punto resolutivo de dicha resolución, infracción tipificada en el artículo 2.4 del Texto Único Ordenado de la Ley de Represión de Conductas Anticompetitivas. </w:t>
      </w:r>
    </w:p>
    <w:p w:rsidR="00000000" w:rsidDel="00000000" w:rsidP="00000000" w:rsidRDefault="00000000" w:rsidRPr="00000000" w14:paraId="00000137">
      <w:pPr>
        <w:widowControl w:val="0"/>
        <w:spacing w:after="0" w:line="360" w:lineRule="auto"/>
        <w:jc w:val="both"/>
        <w:rPr/>
      </w:pPr>
      <w:r w:rsidDel="00000000" w:rsidR="00000000" w:rsidRPr="00000000">
        <w:rPr>
          <w:rtl w:val="0"/>
        </w:rPr>
        <w:t xml:space="preserve">TERCERO: en aplicación del numeral 13.1 del artículo 13 del Texto Único Ordenado de la Ley 27444, Ley del Procedimiento Administrativo General, dejar sin efecto los extremos de la Resolución 014-2022/CLC-INDECOPI del 25 de marzo de 2022, vinculados a las imputaciones mencionadas en el punto resolutivo precedente, correspondientes a la sanción y medida correctiva impuestas a Cencosud Retail Perú S.A., Makro Supermayorista S.A., Hipermercados Tottus S.A., Supermercados Peruanos S.A. y San Fernando S.A. </w:t>
      </w:r>
    </w:p>
    <w:p w:rsidR="00000000" w:rsidDel="00000000" w:rsidP="00000000" w:rsidRDefault="00000000" w:rsidRPr="00000000" w14:paraId="00000138">
      <w:pPr>
        <w:widowControl w:val="0"/>
        <w:spacing w:after="0" w:line="360" w:lineRule="auto"/>
        <w:jc w:val="both"/>
        <w:rPr/>
      </w:pPr>
      <w:r w:rsidDel="00000000" w:rsidR="00000000" w:rsidRPr="00000000">
        <w:rPr>
          <w:rtl w:val="0"/>
        </w:rPr>
        <w:t xml:space="preserve">Con la intervención de los señores vocales César Augusto Llona Silva, Carlos Hugo Mendiburu Díaz, José Abraham Tavera Colugna y Hernando Montoya Alberti. </w:t>
      </w:r>
    </w:p>
    <w:p w:rsidR="00000000" w:rsidDel="00000000" w:rsidP="00000000" w:rsidRDefault="00000000" w:rsidRPr="00000000" w14:paraId="00000139">
      <w:pPr>
        <w:widowControl w:val="0"/>
        <w:spacing w:after="0" w:line="360" w:lineRule="auto"/>
        <w:jc w:val="both"/>
        <w:rPr/>
      </w:pPr>
      <w:r w:rsidDel="00000000" w:rsidR="00000000" w:rsidRPr="00000000">
        <w:rPr>
          <w:rtl w:val="0"/>
        </w:rPr>
      </w:r>
    </w:p>
    <w:p w:rsidR="00000000" w:rsidDel="00000000" w:rsidP="00000000" w:rsidRDefault="00000000" w:rsidRPr="00000000" w14:paraId="0000013A">
      <w:pPr>
        <w:widowControl w:val="0"/>
        <w:spacing w:after="0" w:line="360" w:lineRule="auto"/>
        <w:jc w:val="both"/>
        <w:rPr/>
      </w:pPr>
      <w:r w:rsidDel="00000000" w:rsidR="00000000" w:rsidRPr="00000000">
        <w:rPr>
          <w:rtl w:val="0"/>
        </w:rPr>
        <w:t xml:space="preserve">CÉSAR AUGUSTO LLONA SILVA </w:t>
      </w:r>
    </w:p>
    <w:p w:rsidR="00000000" w:rsidDel="00000000" w:rsidP="00000000" w:rsidRDefault="00000000" w:rsidRPr="00000000" w14:paraId="0000013B">
      <w:pPr>
        <w:widowControl w:val="0"/>
        <w:spacing w:after="0" w:line="360" w:lineRule="auto"/>
        <w:jc w:val="both"/>
        <w:rPr/>
      </w:pPr>
      <w:r w:rsidDel="00000000" w:rsidR="00000000" w:rsidRPr="00000000">
        <w:rPr>
          <w:rtl w:val="0"/>
        </w:rPr>
        <w:t xml:space="preserve">Presidente</w:t>
      </w:r>
    </w:p>
    <w:sectPr>
      <w:footerReference r:id="rId7" w:type="default"/>
      <w:pgSz w:h="16838" w:w="11906" w:orient="portrait"/>
      <w:pgMar w:bottom="1440" w:top="1440" w:left="1080" w:right="108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3C">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13D">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160" w:line="259"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NormalWeb">
    <w:name w:val="Normal (Web)"/>
    <w:basedOn w:val="Normal"/>
    <w:uiPriority w:val="99"/>
    <w:unhideWhenUsed w:val="1"/>
    <w:rsid w:val="002778D9"/>
    <w:pPr>
      <w:spacing w:after="100" w:afterAutospacing="1" w:before="100" w:beforeAutospacing="1" w:line="240" w:lineRule="auto"/>
    </w:pPr>
    <w:rPr>
      <w:rFonts w:ascii="Times New Roman" w:cs="Times New Roman" w:eastAsia="Times New Roman" w:hAnsi="Times New Roman"/>
      <w:kern w:val="0"/>
      <w:sz w:val="24"/>
      <w:szCs w:val="24"/>
      <w:lang w:eastAsia="es-PE"/>
    </w:rPr>
  </w:style>
  <w:style w:type="paragraph" w:styleId="Encabezado">
    <w:name w:val="header"/>
    <w:basedOn w:val="Normal"/>
    <w:link w:val="EncabezadoCar"/>
    <w:uiPriority w:val="99"/>
    <w:unhideWhenUsed w:val="1"/>
    <w:rsid w:val="002778D9"/>
    <w:pPr>
      <w:tabs>
        <w:tab w:val="center" w:pos="4252"/>
        <w:tab w:val="right" w:pos="8504"/>
      </w:tabs>
      <w:spacing w:after="0" w:line="240" w:lineRule="auto"/>
    </w:pPr>
  </w:style>
  <w:style w:type="character" w:styleId="EncabezadoCar" w:customStyle="1">
    <w:name w:val="Encabezado Car"/>
    <w:basedOn w:val="Fuentedeprrafopredeter"/>
    <w:link w:val="Encabezado"/>
    <w:uiPriority w:val="99"/>
    <w:rsid w:val="002778D9"/>
  </w:style>
  <w:style w:type="paragraph" w:styleId="Piedepgina">
    <w:name w:val="footer"/>
    <w:basedOn w:val="Normal"/>
    <w:link w:val="PiedepginaCar"/>
    <w:uiPriority w:val="99"/>
    <w:unhideWhenUsed w:val="1"/>
    <w:rsid w:val="002778D9"/>
    <w:pPr>
      <w:tabs>
        <w:tab w:val="center" w:pos="4252"/>
        <w:tab w:val="right" w:pos="8504"/>
      </w:tabs>
      <w:spacing w:after="0" w:line="240" w:lineRule="auto"/>
    </w:pPr>
  </w:style>
  <w:style w:type="character" w:styleId="PiedepginaCar" w:customStyle="1">
    <w:name w:val="Pie de página Car"/>
    <w:basedOn w:val="Fuentedeprrafopredeter"/>
    <w:link w:val="Piedepgina"/>
    <w:uiPriority w:val="99"/>
    <w:rsid w:val="002778D9"/>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9zY3BQ6b+TbeP8gJHz/+b0RDSNg==">CgMxLjAyDmguZDcwaGxqNmtsOHVqMghoLmdqZGd4czgAciExZGpiWmg4dVgyMXNORjBMUmE3WW9CRVZZRXppTk9RaU4=</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2024-05-29T04:11:00Z</dcterms:created>
  <dc:creator>Elvis Montero Pedroso</dc:creator>
</cp:coreProperties>
</file>