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b w:val="1"/>
          <w:color w:val="05103e"/>
        </w:rPr>
      </w:pPr>
      <w:bookmarkStart w:colFirst="0" w:colLast="0" w:name="_heading=h.gjdgxs" w:id="0"/>
      <w:bookmarkEnd w:id="0"/>
      <w:r w:rsidDel="00000000" w:rsidR="00000000" w:rsidRPr="00000000">
        <w:rPr>
          <w:b w:val="1"/>
          <w:color w:val="05103e"/>
          <w:rtl w:val="0"/>
        </w:rPr>
        <w:t xml:space="preserve">Reano, A. (2009). Thomas Hobbes y Sigmund Freud: pensadores del (des)orden.Foro Interno,(9), 111-128</w:t>
      </w:r>
    </w:p>
    <w:p w:rsidR="00000000" w:rsidDel="00000000" w:rsidP="00000000" w:rsidRDefault="00000000" w:rsidRPr="00000000" w14:paraId="00000002">
      <w:pPr>
        <w:spacing w:line="360" w:lineRule="auto"/>
        <w:jc w:val="both"/>
        <w:rPr/>
      </w:pPr>
      <w:r w:rsidDel="00000000" w:rsidR="00000000" w:rsidRPr="00000000">
        <w:rPr>
          <w:rtl w:val="0"/>
        </w:rPr>
        <w:t xml:space="preserve">Inicio página 111</w:t>
      </w:r>
      <w:r w:rsidDel="00000000" w:rsidR="00000000" w:rsidRPr="00000000">
        <w:rPr>
          <w:rtl w:val="0"/>
        </w:rPr>
      </w:r>
    </w:p>
    <w:p w:rsidR="00000000" w:rsidDel="00000000" w:rsidP="00000000" w:rsidRDefault="00000000" w:rsidRPr="00000000" w14:paraId="00000003">
      <w:pPr>
        <w:spacing w:line="360" w:lineRule="auto"/>
        <w:jc w:val="both"/>
        <w:rPr/>
      </w:pPr>
      <w:r w:rsidDel="00000000" w:rsidR="00000000" w:rsidRPr="00000000">
        <w:rPr>
          <w:rtl w:val="0"/>
        </w:rPr>
        <w:t xml:space="preserve">RESUMEN</w:t>
      </w:r>
    </w:p>
    <w:p w:rsidR="00000000" w:rsidDel="00000000" w:rsidP="00000000" w:rsidRDefault="00000000" w:rsidRPr="00000000" w14:paraId="00000004">
      <w:pPr>
        <w:spacing w:line="360" w:lineRule="auto"/>
        <w:jc w:val="both"/>
        <w:rPr/>
      </w:pPr>
      <w:r w:rsidDel="00000000" w:rsidR="00000000" w:rsidRPr="00000000">
        <w:rPr>
          <w:rtl w:val="0"/>
        </w:rPr>
        <w:t xml:space="preserve">En este trabajo nos proponemos rastrear la manera en que dos teóricos provenientes de campos disciplinares en apariencia distintos, interpretan en términos comunes la tragedia de la modernidad. Se trata de la tragedia que viene a mostrarnos que el orden del mundo ya no está predeterminado por ninguna voluntad divina y que su construcción deviene objeto de la acción humana. Para ilustrar esto nos referiremos al modo en que Thomas Hobbes y Sigmund Freud indagan el carácter contingente de lo humano en las respectivas representaciones del estado de naturaleza y de la horda primitiva. Al mismo tiempo veremos cómo se articula en ambos planteos la idea de orden como producción social necesaria pero al mismo tiempo imposible. en el caso de Freud esta operación se asocia a la figura de la Kultur y en Hobbes a la del Leviathan. De este modo mostraremos que el estado y la Cultura se constituyen en el artificio para dar un orden —institucional y simbólico— al desorden constitutivo de la sociedad.</w:t>
      </w:r>
    </w:p>
    <w:p w:rsidR="00000000" w:rsidDel="00000000" w:rsidP="00000000" w:rsidRDefault="00000000" w:rsidRPr="00000000" w14:paraId="00000005">
      <w:pPr>
        <w:spacing w:line="360" w:lineRule="auto"/>
        <w:jc w:val="both"/>
        <w:rPr/>
      </w:pPr>
      <w:r w:rsidDel="00000000" w:rsidR="00000000" w:rsidRPr="00000000">
        <w:rPr>
          <w:rtl w:val="0"/>
        </w:rPr>
        <w:t xml:space="preserve">PALABRAS CLAVE</w:t>
      </w:r>
    </w:p>
    <w:p w:rsidR="00000000" w:rsidDel="00000000" w:rsidP="00000000" w:rsidRDefault="00000000" w:rsidRPr="00000000" w14:paraId="00000006">
      <w:pPr>
        <w:spacing w:line="360" w:lineRule="auto"/>
        <w:jc w:val="both"/>
        <w:rPr/>
      </w:pPr>
      <w:r w:rsidDel="00000000" w:rsidR="00000000" w:rsidRPr="00000000">
        <w:rPr>
          <w:rtl w:val="0"/>
        </w:rPr>
        <w:t xml:space="preserve">orden, desorden, tragedia, ley, Leviathan, Kultur.</w:t>
      </w:r>
    </w:p>
    <w:p w:rsidR="00000000" w:rsidDel="00000000" w:rsidP="00000000" w:rsidRDefault="00000000" w:rsidRPr="00000000" w14:paraId="00000007">
      <w:pPr>
        <w:spacing w:line="360" w:lineRule="auto"/>
        <w:jc w:val="both"/>
        <w:rPr/>
      </w:pPr>
      <w:r w:rsidDel="00000000" w:rsidR="00000000" w:rsidRPr="00000000">
        <w:rPr>
          <w:rtl w:val="0"/>
        </w:rPr>
        <w:t xml:space="preserve">Inicio página 112</w:t>
      </w:r>
    </w:p>
    <w:p w:rsidR="00000000" w:rsidDel="00000000" w:rsidP="00000000" w:rsidRDefault="00000000" w:rsidRPr="00000000" w14:paraId="00000008">
      <w:pPr>
        <w:spacing w:line="360" w:lineRule="auto"/>
        <w:jc w:val="both"/>
        <w:rPr/>
      </w:pPr>
      <w:r w:rsidDel="00000000" w:rsidR="00000000" w:rsidRPr="00000000">
        <w:rPr>
          <w:rtl w:val="0"/>
        </w:rPr>
        <w:t xml:space="preserve">es una apuesta casi indiscutible para la teoría política ubicar a Thomas Hobbes entre los primeros filósofos modernos —sino el primero— en pensar cómo se instituye el orden político. No es el propósito de este trabajo negar semejante afirmación, sino más bien sugerir que su estrategia para pensar el orden surge de una reflexión acerca del desorden constitutivo del mundo y sus relaciones. A partir de esto, podemos empezar a rastrear los puntos de contacto de Hobbes con la forma en que Sigmund Freud aborda la problemática de la indeterminación de los lazos sociales y la incidencia de la cultura en su regulación. Es decir, a consecuencia de pensar el conflicto y la violencia como constitutivos de los lazos humanos, tanto en Hobbes como en Freud se desprende la necesidad de encontrar un orden adecuado para la sociedad.</w:t>
      </w:r>
    </w:p>
    <w:p w:rsidR="00000000" w:rsidDel="00000000" w:rsidP="00000000" w:rsidRDefault="00000000" w:rsidRPr="00000000" w14:paraId="00000009">
      <w:pPr>
        <w:spacing w:line="360" w:lineRule="auto"/>
        <w:jc w:val="both"/>
        <w:rPr/>
      </w:pPr>
      <w:r w:rsidDel="00000000" w:rsidR="00000000" w:rsidRPr="00000000">
        <w:rPr>
          <w:rtl w:val="0"/>
        </w:rPr>
        <w:t xml:space="preserve">Creemos que el sentido de abordar a dos pensadores en apariencia tan distintos, tan distantes en el tiempo y con ambiciones teóricas y científicas supuestamente tan diferentes tiene sentido porque, a sabiendas o no, ambos recuperan la dimensión trágica de la vida humana, dimensiones que la sociedad y la política vienen a sopesar. La tragedia ha sido un modo histórico de pensar el conflicto, la contradicción y la indeterminación radical de las relaciones sociales; dimensión que ha sido negada por las formas dominantes del pensamiento occidental contra las que, cada uno a su modo, Freud y Hobbes se han enfrentado. el esfuerzo de establecer algunos vínculos teóricos entre las formas en que ambos autores pensaron el acontecer de lo humano y de lo político nos introduce en un universo en el que nos encontramos con más afinidades que diferencias. A su vez, este ejercicio supone uno mayor, que es el de poner en cuestión la existencia de barreras disciplinares entre teoría política y psicoanálisis. Ariana Reano Thomas Hobbes y Sigmund Freud: pensadores del (des)orden</w:t>
      </w:r>
    </w:p>
    <w:p w:rsidR="00000000" w:rsidDel="00000000" w:rsidP="00000000" w:rsidRDefault="00000000" w:rsidRPr="00000000" w14:paraId="0000000A">
      <w:pPr>
        <w:spacing w:line="360" w:lineRule="auto"/>
        <w:jc w:val="both"/>
        <w:rPr/>
      </w:pPr>
      <w:r w:rsidDel="00000000" w:rsidR="00000000" w:rsidRPr="00000000">
        <w:rPr>
          <w:rtl w:val="0"/>
        </w:rPr>
        <w:t xml:space="preserve">Una vez aceptado el desorden radical de las relaciones humanas, el eje de nuestras consideraciones será indagar los parecidos de familia que existen entre la forma en que cada uno de estos lenguajes teóricos construye y argumenta en favor de volver a poner a la vida social y política bajo el amparo de una instancia universal, organizadora, obligatoria. Para Hobbes esta instancia adquiere la forma de una institución política formal: el estado. Para Freud no es ya una, sino el conjunto de instituciones, normas y reglas de la vida social expresadas en la cultura —siendo el estado parte de ella— las que cumplen esta instancia reguladora. Así, tanto el Leviathan como la Kultur, son el nombre de la Ley que como artificio del genio creador humano viene a poner orden al caos que la misma existencia de lo humano conlleva. Ambas instancias, en tanto que productos comunitarios, instituyen una autoridad que se externaliza, cobra vida propia, y es subjetivada como obediencia consensuada. La dimensión de lo normativo, lo obligatorio y lo irrecusable aparece en ambas miradas, no como modos de ocultar, sino de rescatar la dimensión trágica del mundo. Este es el conflicto fundante de lo político, producto de la relación nunca estable entre el Caos del goce sin ataduras y el orden de la regla.</w:t>
      </w:r>
    </w:p>
    <w:p w:rsidR="00000000" w:rsidDel="00000000" w:rsidP="00000000" w:rsidRDefault="00000000" w:rsidRPr="00000000" w14:paraId="0000000B">
      <w:pPr>
        <w:spacing w:line="360" w:lineRule="auto"/>
        <w:jc w:val="both"/>
        <w:rPr/>
      </w:pPr>
      <w:r w:rsidDel="00000000" w:rsidR="00000000" w:rsidRPr="00000000">
        <w:rPr>
          <w:rtl w:val="0"/>
        </w:rPr>
        <w:t xml:space="preserve">EL Estado DE Naturaleza Y LA horda Primitiva: figuras DEL DESORDEN en los planteamientos de los autores aquí considerados se marca, como forma de progreso1 de la historia de la vida del hombre, el paso de un estado en el que el individuo es plenamente libre —la sociedad primitiva para Freud, el estado de naturaleza para Hobbes— a una sociedad sujeta a ciertas normas. Las preguntas que podrían formularse al respecto son: ¿por qué se plantea como necesario ese pasaje? ¿Qué consecuencias trae para el sujeto? ¿Qué cambios produce en su vida? ¿Cómo se configura la relación con los otros sujetos, es decir, qué rasgos adquiere el lazo social en este estado? ¿Qué importancia tiene la organización social para el desarrollo de la vida del sujeto? Para intentar revisar estos interrogantes debemos comenzar por entender cómo se configura el estado natural. En su debate con Albert Einstein reproducido en el artículo ¿Por qué la guerra?, Freud nos dice:</w:t>
      </w:r>
    </w:p>
    <w:p w:rsidR="00000000" w:rsidDel="00000000" w:rsidP="00000000" w:rsidRDefault="00000000" w:rsidRPr="00000000" w14:paraId="0000000C">
      <w:pPr>
        <w:spacing w:line="360" w:lineRule="auto"/>
        <w:jc w:val="both"/>
        <w:rPr/>
      </w:pPr>
      <w:r w:rsidDel="00000000" w:rsidR="00000000" w:rsidRPr="00000000">
        <w:rPr>
          <w:rtl w:val="0"/>
        </w:rPr>
        <w:t xml:space="preserve">Al comienzo, en una pequeña horda de seres humanos, era la fuerza muscular la que decidía a quien pertenecía algo o de quien debía hacerse la voluntad. La fuerza muscular se vio pronto aumentada y sustituida por el uso de instrumentos…Al introducirse las armas ya la superioridad mental empieza a ocupar el lugar de la fuerza muscular bruta. . No obstante, el propósito de la lucha sigue siendo el mismo: una de las partes será constreñida a deponer su reclamo o su antagonismo. Ello se conseguirá de la manera más radical cuando la violencia elimine al contrincante, es decir, cuando lo mate. He aquí la representación del estado originario en el que se encuentra el hombre: el imperio de la violencia bruta y podríamos decir también, el de la nada política. Esto porque, según Hobbes: es manifiesto que durante el tiempo en que los hombres viven sin un poder común que los atemorice a todos, se hallan en la condición o estado que se denomina de guerra; una guerra tal que es la de todos contra todos…en esta guerra de todos contra todos se da una consecuencia: que nada puede ser injusto. Las nociones de derecho e ilegalidad, justicia e injusticia están fuera de lugar. Donde no hay poder común, la ley no existe, donde no hay ley, no hay justicia. </w:t>
      </w:r>
    </w:p>
    <w:p w:rsidR="00000000" w:rsidDel="00000000" w:rsidP="00000000" w:rsidRDefault="00000000" w:rsidRPr="00000000" w14:paraId="0000000D">
      <w:pPr>
        <w:spacing w:line="360" w:lineRule="auto"/>
        <w:jc w:val="both"/>
        <w:rPr/>
      </w:pPr>
      <w:r w:rsidDel="00000000" w:rsidR="00000000" w:rsidRPr="00000000">
        <w:rPr>
          <w:rtl w:val="0"/>
        </w:rPr>
        <w:t xml:space="preserve">El similar diagnóstico que realizan Hobbes y Freud acerca del estado pre social como una situación en la que peligra la vida de cada hombre, pero que al mismo tiempo es un estado de plena subjetividad —puesto que en él cada sujeto despliega su libertad porque puede utilizar libremente su razón para procurar sus propios fines— no debe impedirnos destacar las diferencias entre sus posturas, sobre todo en cuanto a la concepción del hombre en dicho estado natural que mantienen uno y otro. Es clara la interpretación freudiana acerca de que en el sujeto predomina una pulsión de muerte y que es natural que el ser vivo preserve la propia vida destruyendo la ajena. Semejante tesis ya había sido sostenida por el psicoanalista vienés unos años antes, cuando en El malestar de la cultura nos decía:</w:t>
      </w:r>
    </w:p>
    <w:p w:rsidR="00000000" w:rsidDel="00000000" w:rsidP="00000000" w:rsidRDefault="00000000" w:rsidRPr="00000000" w14:paraId="0000000E">
      <w:pPr>
        <w:spacing w:line="360" w:lineRule="auto"/>
        <w:jc w:val="both"/>
        <w:rPr/>
      </w:pPr>
      <w:r w:rsidDel="00000000" w:rsidR="00000000" w:rsidRPr="00000000">
        <w:rPr>
          <w:rtl w:val="0"/>
        </w:rPr>
        <w:t xml:space="preserve">El ser humano no es un ser manso, amable, a lo sumo capaz de defenderse si lo atacan, sino que es lícito atribuir a su dotación pulsional una buena cuota de agresividad. En consecuencia, el prójimo es…una tentación para satisfacer en él la agresión, explotar su fuerza de trabajo sin resarcirlo, usarlo sexualmente sin su consentimiento, desposeerlo de su patrimonio, humillarlo, infringirle dolores, martirizarlo y asesinarlo, ¿quién, en vista de la experiencia de la vida y de la historia, osaría poner en entredicho tal apotegma?</w:t>
      </w:r>
    </w:p>
    <w:p w:rsidR="00000000" w:rsidDel="00000000" w:rsidP="00000000" w:rsidRDefault="00000000" w:rsidRPr="00000000" w14:paraId="0000000F">
      <w:pPr>
        <w:spacing w:line="360" w:lineRule="auto"/>
        <w:jc w:val="both"/>
        <w:rPr/>
      </w:pPr>
      <w:r w:rsidDel="00000000" w:rsidR="00000000" w:rsidRPr="00000000">
        <w:rPr>
          <w:rtl w:val="0"/>
        </w:rPr>
        <w:t xml:space="preserve">Sea una disposición natural o racional, tanto para Freud como para Hobbes el estado natural no aparece tan sólo como una situación previa a la sociedad civil, sino que se configura más bien como una situación atemporal. Por ello hablamos de disposición, y en este sentido es un fantasma que amenaza constantemente con reaparecer en escena, aun en la sociedad reglada. De ahí que Freud entienda que la superación del estado de naturaleza no elimina el conflicto para siempre; la amenaza está latente aún en una situación de imperio del derecho. Ello se debe, en parte, a la desigualdad que le es inherente a toda comunidad e innata a los seres humanos. Veamos lo que nos dice el propio Freud al respecto: en la realidad, la situación se complica por el hecho de que la comunidad incluye desde el comienzo elementos de poder desigual, varones y mujeres, padres e hijos, y pronto, a consecuencia de la guerra y el sometimiento, vencedores y vencidos, que se transforman en amos y esclavos. entonces el derecho de la comunidad se convierte en la expresión de las desiguales relaciones de poder que imperan en su seno [por lo que] aun dentro de una unidad de derecho no es posible evitar la tramitación de la violencia de los conflictos de intereses*11 .</w:t>
      </w:r>
    </w:p>
    <w:p w:rsidR="00000000" w:rsidDel="00000000" w:rsidP="00000000" w:rsidRDefault="00000000" w:rsidRPr="00000000" w14:paraId="00000010">
      <w:pPr>
        <w:spacing w:line="360" w:lineRule="auto"/>
        <w:jc w:val="both"/>
        <w:rPr/>
      </w:pPr>
      <w:r w:rsidDel="00000000" w:rsidR="00000000" w:rsidRPr="00000000">
        <w:rPr>
          <w:rtl w:val="0"/>
        </w:rPr>
        <w:t xml:space="preserve">Llegados a este punto y una vez que entendimos que, por la razón que sea, la situación conflictiva propia del estado de naturaleza no se puede erradicar, sería legítimo preguntarnos entonces ¿qué sentido tiene para Hobbes plantear la necesidad de la construcción del estado, o para Freud la instauración de la cultura? Quizá un intento de comenzar a entender este porqué sea plantear que, aunque el mundo esté constitutivamente dislocado y que por ello la instauración del orden social y político absoluto es imposible, Hobbes y Freud creen también que es necesario construir la posibilidad de la vida en común.</w:t>
      </w:r>
    </w:p>
    <w:p w:rsidR="00000000" w:rsidDel="00000000" w:rsidP="00000000" w:rsidRDefault="00000000" w:rsidRPr="00000000" w14:paraId="00000011">
      <w:pPr>
        <w:spacing w:line="360" w:lineRule="auto"/>
        <w:jc w:val="both"/>
        <w:rPr/>
      </w:pPr>
      <w:r w:rsidDel="00000000" w:rsidR="00000000" w:rsidRPr="00000000">
        <w:rPr>
          <w:rtl w:val="0"/>
        </w:rPr>
        <w:t xml:space="preserve">En el acto criminal que se comete hacia el padre es donde reside la condición de posibilidad de las organizaciones sociales, de las restricciones morales y de la religión. Es con ese acto de violencia que se inicia la Kultur— cuando la sociedad comienza a funcionar y la norma a reglar.</w:t>
      </w:r>
    </w:p>
    <w:p w:rsidR="00000000" w:rsidDel="00000000" w:rsidP="00000000" w:rsidRDefault="00000000" w:rsidRPr="00000000" w14:paraId="00000012">
      <w:pPr>
        <w:spacing w:line="360" w:lineRule="auto"/>
        <w:jc w:val="both"/>
        <w:rPr/>
      </w:pPr>
      <w:r w:rsidDel="00000000" w:rsidR="00000000" w:rsidRPr="00000000">
        <w:rPr>
          <w:rtl w:val="0"/>
        </w:rPr>
        <w:t xml:space="preserve">En tal contexto, la posibilidad de superación de la violencia originaria se produce a través de la cesión del poderío personal de cada hombre a una unidad más amplia. El camino que condujo de la violencia al derecho se dio por el hecho de que la mayor fortaleza de uno podía ser compensada por la unión de varios débiles. La violencia es quebrantada por la unión, y ahora el poder de estos débiles unidos constituye el derecho de todos en oposición a la violencia del único. En palabras del propio Freud: “las leyes de la asociación determinan entonces la medida en que el individuo debe renunciar a la libertad personal de aplicar su fuerza como violencia, a fin de que sea posible una convivencia más segura” . He aquí el modo en que se instituye el derecho que regulará las relaciones entre los individuos dentro de la sociedad.</w:t>
      </w:r>
    </w:p>
    <w:p w:rsidR="00000000" w:rsidDel="00000000" w:rsidP="00000000" w:rsidRDefault="00000000" w:rsidRPr="00000000" w14:paraId="00000013">
      <w:pPr>
        <w:spacing w:line="360" w:lineRule="auto"/>
        <w:jc w:val="both"/>
        <w:rPr/>
      </w:pPr>
      <w:r w:rsidDel="00000000" w:rsidR="00000000" w:rsidRPr="00000000">
        <w:rPr>
          <w:rtl w:val="0"/>
        </w:rPr>
        <w:t xml:space="preserve">A condición que ninguno tome el lugar del padre.</w:t>
      </w:r>
    </w:p>
    <w:p w:rsidR="00000000" w:rsidDel="00000000" w:rsidP="00000000" w:rsidRDefault="00000000" w:rsidRPr="00000000" w14:paraId="00000014">
      <w:pPr>
        <w:spacing w:line="360" w:lineRule="auto"/>
        <w:jc w:val="both"/>
        <w:rPr/>
      </w:pPr>
      <w:r w:rsidDel="00000000" w:rsidR="00000000" w:rsidRPr="00000000">
        <w:rPr>
          <w:rtl w:val="0"/>
        </w:rPr>
      </w:r>
    </w:p>
    <w:p w:rsidR="00000000" w:rsidDel="00000000" w:rsidP="00000000" w:rsidRDefault="00000000" w:rsidRPr="00000000" w14:paraId="00000015">
      <w:pPr>
        <w:spacing w:line="360" w:lineRule="auto"/>
        <w:jc w:val="both"/>
        <w:rPr/>
      </w:pPr>
      <w:r w:rsidDel="00000000" w:rsidR="00000000" w:rsidRPr="00000000">
        <w:rPr>
          <w:rtl w:val="0"/>
        </w:rPr>
        <w:t xml:space="preserve">Schmitt sostiene que para Hobbes la amenaza siempre está presente. “No es la regla del derecho la que funda el Estado sino la presencia del crimen y del terror”. </w:t>
      </w:r>
    </w:p>
    <w:p w:rsidR="00000000" w:rsidDel="00000000" w:rsidP="00000000" w:rsidRDefault="00000000" w:rsidRPr="00000000" w14:paraId="00000016">
      <w:pPr>
        <w:spacing w:line="360" w:lineRule="auto"/>
        <w:jc w:val="both"/>
        <w:rPr/>
      </w:pPr>
      <w:r w:rsidDel="00000000" w:rsidR="00000000" w:rsidRPr="00000000">
        <w:rPr>
          <w:rtl w:val="0"/>
        </w:rPr>
      </w:r>
    </w:p>
    <w:p w:rsidR="00000000" w:rsidDel="00000000" w:rsidP="00000000" w:rsidRDefault="00000000" w:rsidRPr="00000000" w14:paraId="00000017">
      <w:pPr>
        <w:spacing w:line="360" w:lineRule="auto"/>
        <w:jc w:val="both"/>
        <w:rPr/>
      </w:pPr>
      <w:r w:rsidDel="00000000" w:rsidR="00000000" w:rsidRPr="00000000">
        <w:rPr>
          <w:rtl w:val="0"/>
        </w:rPr>
        <w:t xml:space="preserve">El mito del origen de la cultura y del Derecho  / El padre de la horda primitiva</w:t>
      </w:r>
    </w:p>
    <w:p w:rsidR="00000000" w:rsidDel="00000000" w:rsidP="00000000" w:rsidRDefault="00000000" w:rsidRPr="00000000" w14:paraId="00000018">
      <w:pPr>
        <w:spacing w:line="360" w:lineRule="auto"/>
        <w:jc w:val="both"/>
        <w:rPr/>
      </w:pPr>
      <w:r w:rsidDel="00000000" w:rsidR="00000000" w:rsidRPr="00000000">
        <w:rPr>
          <w:rtl w:val="0"/>
        </w:rPr>
        <w:t xml:space="preserve">Este mito supone que el hombre primitivo vivía en pequeñas hordas dominadas por un macho poderoso, dueño y señor de todas las hembras. La situación de los hijos machos era dura, si despertaban los recelos del padre eran muertos o proscritos; estaban condenados a vivir en peque- ñas comunidades y en lograr hembras raptándolas. Los impulsos sexuales de los hijos y hermanos se dirigían hacia su madre y hermanas pero el gran obstáculo que frenaba sus deseos era el padre. La situación despertó un sentimiento de odio y de muerte hacia él, un afán de eliminarlo y ocupar su lugar poniendo fin así a la horda paterna y al dominio absolutista del padre. Después del asesinato del padre se vivió una larga época de desorden social en la cual los hermanos se disputaban la sucesión paterna; pero el principio de la realidad se impuso y los hermanos comprendieron que para sobrevivir había que reprimir el principal móvil del parricidio: la posesión de las hembras. Por otra parte, surgió un fuerte sentimiento de culpabilidad como consecuencia de la ambivalencia de los sentimientos, el odio y el amor hacia el padre. el principio de la realidad y el sentimiento de culpa son lo que hicieron nacer las organizaciones sociales, normas morales y la religión. Así fue como se impuso la necesidad de renunciar al ideal de imitar al padre en la posesión de la madre y las hermanas, necesidad que dio lugar a las primeras normas morales. </w:t>
      </w:r>
    </w:p>
    <w:p w:rsidR="00000000" w:rsidDel="00000000" w:rsidP="00000000" w:rsidRDefault="00000000" w:rsidRPr="00000000" w14:paraId="00000019">
      <w:pPr>
        <w:spacing w:line="360" w:lineRule="auto"/>
        <w:jc w:val="both"/>
        <w:rPr/>
      </w:pPr>
      <w:r w:rsidDel="00000000" w:rsidR="00000000" w:rsidRPr="00000000">
        <w:rPr>
          <w:rtl w:val="0"/>
        </w:rPr>
        <w:t xml:space="preserve">Sigmund FReUD, “Tótem y Tabú” (1913 [1912]), Obras Completas, Tomo XIII, Amorrortu, Buenos Aires, 2003, pp. 11-26.</w:t>
      </w:r>
    </w:p>
    <w:p w:rsidR="00000000" w:rsidDel="00000000" w:rsidP="00000000" w:rsidRDefault="00000000" w:rsidRPr="00000000" w14:paraId="0000001A">
      <w:pPr>
        <w:spacing w:line="360" w:lineRule="auto"/>
        <w:jc w:val="both"/>
        <w:rPr/>
      </w:pPr>
      <w:r w:rsidDel="00000000" w:rsidR="00000000" w:rsidRPr="00000000">
        <w:rPr>
          <w:rtl w:val="0"/>
        </w:rPr>
      </w:r>
    </w:p>
    <w:p w:rsidR="00000000" w:rsidDel="00000000" w:rsidP="00000000" w:rsidRDefault="00000000" w:rsidRPr="00000000" w14:paraId="0000001B">
      <w:pPr>
        <w:spacing w:line="360" w:lineRule="auto"/>
        <w:jc w:val="both"/>
        <w:rPr/>
      </w:pPr>
      <w:r w:rsidDel="00000000" w:rsidR="00000000" w:rsidRPr="00000000">
        <w:rPr>
          <w:rtl w:val="0"/>
        </w:rPr>
      </w:r>
    </w:p>
    <w:sectPr>
      <w:pgSz w:h="16838" w:w="11906" w:orient="portrait"/>
      <w:pgMar w:bottom="1417" w:top="1417" w:left="1417.3228346456694" w:right="1422.4015748031502"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apple-style-span" w:customStyle="1">
    <w:name w:val="apple-style-span"/>
    <w:basedOn w:val="Fuentedeprrafopredeter"/>
    <w:rsid w:val="00442A1A"/>
  </w:style>
  <w:style w:type="character" w:styleId="apple-converted-space" w:customStyle="1">
    <w:name w:val="apple-converted-space"/>
    <w:basedOn w:val="Fuentedeprrafopredeter"/>
    <w:rsid w:val="00442A1A"/>
  </w:style>
  <w:style w:type="character" w:styleId="Hipervnculo">
    <w:name w:val="Hyperlink"/>
    <w:basedOn w:val="Fuentedeprrafopredeter"/>
    <w:uiPriority w:val="99"/>
    <w:unhideWhenUsed w:val="1"/>
    <w:rsid w:val="00442A1A"/>
    <w:rPr>
      <w:color w:val="0000ff"/>
      <w:u w:val="single"/>
    </w:rPr>
  </w:style>
  <w:style w:type="paragraph" w:styleId="Prrafodelista">
    <w:name w:val="List Paragraph"/>
    <w:basedOn w:val="Normal"/>
    <w:uiPriority w:val="34"/>
    <w:qFormat w:val="1"/>
    <w:rsid w:val="00F74B28"/>
    <w:pPr>
      <w:spacing w:after="0" w:line="240" w:lineRule="auto"/>
      <w:ind w:left="720"/>
      <w:contextualSpacing w:val="1"/>
    </w:pPr>
    <w:rPr>
      <w:rFonts w:ascii="Times New Roman" w:cs="Times New Roman" w:eastAsia="Times New Roman" w:hAnsi="Times New Roman"/>
      <w:sz w:val="24"/>
      <w:szCs w:val="24"/>
      <w:lang w:eastAsia="es-PE"/>
    </w:rPr>
  </w:style>
  <w:style w:type="paragraph" w:styleId="Textodeglobo">
    <w:name w:val="Balloon Text"/>
    <w:basedOn w:val="Normal"/>
    <w:link w:val="TextodegloboCar"/>
    <w:uiPriority w:val="99"/>
    <w:semiHidden w:val="1"/>
    <w:unhideWhenUsed w:val="1"/>
    <w:rsid w:val="002F46BD"/>
    <w:pPr>
      <w:spacing w:after="0"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2F46BD"/>
    <w:rPr>
      <w:rFonts w:ascii="Segoe UI" w:cs="Segoe UI" w:hAnsi="Segoe UI"/>
      <w:sz w:val="18"/>
      <w:szCs w:val="1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A9Wh0BpMpweW1qtI8DVt7p6JVNQ==">CgMxLjAyCGguZ2pkZ3hzOAByITFWd1JQSTcwX3NnQ1ZIMjBGNlI3THFGWkhUN1pPaEpOcA==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2016-09-16T04:54:00Z</dcterms:created>
  <dc:creator>Hugo Dias</dc:creator>
</cp:coreProperties>
</file>