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de la Maza Gazmuri, Iñigo. (2010). Tipicidad y atipicidad de los deberes precontractuales de información. </w:t>
      </w:r>
      <w:r w:rsidDel="00000000" w:rsidR="00000000" w:rsidRPr="00000000">
        <w:rPr>
          <w:i w:val="1"/>
          <w:rtl w:val="0"/>
        </w:rPr>
        <w:t xml:space="preserve">Revista de Derecho de la Pontificia Universidad Católica de Valparaíso</w:t>
      </w:r>
      <w:r w:rsidDel="00000000" w:rsidR="00000000" w:rsidRPr="00000000">
        <w:rPr>
          <w:rtl w:val="0"/>
        </w:rPr>
        <w:t xml:space="preserve">, (34),  pp.75-99.</w:t>
      </w:r>
    </w:p>
    <w:p w:rsidR="00000000" w:rsidDel="00000000" w:rsidP="00000000" w:rsidRDefault="00000000" w:rsidRPr="00000000" w14:paraId="00000002">
      <w:pPr>
        <w:spacing w:line="360" w:lineRule="auto"/>
        <w:rPr>
          <w:b w:val="1"/>
        </w:rPr>
      </w:pPr>
      <w:r w:rsidDel="00000000" w:rsidR="00000000" w:rsidRPr="00000000">
        <w:rPr>
          <w:b w:val="1"/>
          <w:rtl w:val="0"/>
        </w:rPr>
        <w:t xml:space="preserve">Inicio página 75</w:t>
      </w:r>
    </w:p>
    <w:p w:rsidR="00000000" w:rsidDel="00000000" w:rsidP="00000000" w:rsidRDefault="00000000" w:rsidRPr="00000000" w14:paraId="00000003">
      <w:pPr>
        <w:pStyle w:val="Heading1"/>
        <w:tabs>
          <w:tab w:val="left" w:leader="none" w:pos="3960"/>
        </w:tabs>
        <w:rPr/>
      </w:pPr>
      <w:bookmarkStart w:colFirst="0" w:colLast="0" w:name="_heading=h.8ed4wk7lu8cy" w:id="0"/>
      <w:bookmarkEnd w:id="0"/>
      <w:r w:rsidDel="00000000" w:rsidR="00000000" w:rsidRPr="00000000">
        <w:rPr>
          <w:rtl w:val="0"/>
        </w:rPr>
        <w:t xml:space="preserve">Tipicidad y atipicidad</w:t>
      </w:r>
    </w:p>
    <w:p w:rsidR="00000000" w:rsidDel="00000000" w:rsidP="00000000" w:rsidRDefault="00000000" w:rsidRPr="00000000" w14:paraId="00000004">
      <w:pPr>
        <w:tabs>
          <w:tab w:val="left" w:leader="none" w:pos="3960"/>
        </w:tabs>
        <w:spacing w:line="360" w:lineRule="auto"/>
        <w:rPr/>
      </w:pPr>
      <w:r w:rsidDel="00000000" w:rsidR="00000000" w:rsidRPr="00000000">
        <w:rPr>
          <w:rtl w:val="0"/>
        </w:rPr>
        <w:t xml:space="preserve">DE LOS DEBERES PRECONTRACTUALES DE INFORMACIÓN [“Typical and Atypical Precontractual Duties of Information”]</w:t>
      </w:r>
    </w:p>
    <w:p w:rsidR="00000000" w:rsidDel="00000000" w:rsidP="00000000" w:rsidRDefault="00000000" w:rsidRPr="00000000" w14:paraId="00000005">
      <w:pPr>
        <w:tabs>
          <w:tab w:val="left" w:leader="none" w:pos="3960"/>
        </w:tabs>
        <w:spacing w:line="360" w:lineRule="auto"/>
        <w:rPr/>
      </w:pPr>
      <w:r w:rsidDel="00000000" w:rsidR="00000000" w:rsidRPr="00000000">
        <w:rPr>
          <w:rtl w:val="0"/>
        </w:rPr>
      </w:r>
    </w:p>
    <w:p w:rsidR="00000000" w:rsidDel="00000000" w:rsidP="00000000" w:rsidRDefault="00000000" w:rsidRPr="00000000" w14:paraId="00000006">
      <w:pPr>
        <w:pStyle w:val="Heading1"/>
        <w:tabs>
          <w:tab w:val="left" w:leader="none" w:pos="3960"/>
        </w:tabs>
        <w:spacing w:line="360" w:lineRule="auto"/>
        <w:rPr/>
      </w:pPr>
      <w:bookmarkStart w:colFirst="0" w:colLast="0" w:name="_heading=h.u3rx87lzh58b" w:id="1"/>
      <w:bookmarkEnd w:id="1"/>
      <w:r w:rsidDel="00000000" w:rsidR="00000000" w:rsidRPr="00000000">
        <w:rPr>
          <w:rtl w:val="0"/>
        </w:rPr>
        <w:t xml:space="preserve">Resumen</w:t>
      </w:r>
    </w:p>
    <w:p w:rsidR="00000000" w:rsidDel="00000000" w:rsidP="00000000" w:rsidRDefault="00000000" w:rsidRPr="00000000" w14:paraId="00000007">
      <w:pPr>
        <w:tabs>
          <w:tab w:val="left" w:leader="none" w:pos="3960"/>
        </w:tabs>
        <w:spacing w:line="360" w:lineRule="auto"/>
        <w:rPr/>
      </w:pPr>
      <w:r w:rsidDel="00000000" w:rsidR="00000000" w:rsidRPr="00000000">
        <w:rPr>
          <w:rtl w:val="0"/>
        </w:rPr>
        <w:t xml:space="preserve">El estudio de los deberes precontractuales de información suele considerarse un campo en el que impera la confusión. En estas páginas interesa advertir, en primer lugar, que dicha confusión se encuentra relacionada con la complejidad que supone la presencia de intereses diversos y contradictorios. En segundo lugar, se afirma que es posible aligerar la confusión si se distingue entre deberes precontractuales de información típicos y atípicos. Finalmente, en tercer lugar se muestran algunas enseñanzas que pueden extraerse a partir de esta distinción.</w:t>
      </w:r>
    </w:p>
    <w:p w:rsidR="00000000" w:rsidDel="00000000" w:rsidP="00000000" w:rsidRDefault="00000000" w:rsidRPr="00000000" w14:paraId="00000008">
      <w:pPr>
        <w:tabs>
          <w:tab w:val="left" w:leader="none" w:pos="3960"/>
        </w:tabs>
        <w:spacing w:line="360" w:lineRule="auto"/>
        <w:rPr/>
      </w:pPr>
      <w:r w:rsidDel="00000000" w:rsidR="00000000" w:rsidRPr="00000000">
        <w:rPr>
          <w:rtl w:val="0"/>
        </w:rPr>
        <w:t xml:space="preserve">Palabras clave : Información — Deberes precontractuales — Buena fe - Tipicidad.</w:t>
      </w:r>
    </w:p>
    <w:p w:rsidR="00000000" w:rsidDel="00000000" w:rsidP="00000000" w:rsidRDefault="00000000" w:rsidRPr="00000000" w14:paraId="00000009">
      <w:pPr>
        <w:tabs>
          <w:tab w:val="left" w:leader="none" w:pos="3960"/>
        </w:tabs>
        <w:spacing w:line="360" w:lineRule="auto"/>
        <w:rPr/>
      </w:pPr>
      <w:r w:rsidDel="00000000" w:rsidR="00000000" w:rsidRPr="00000000">
        <w:rPr>
          <w:rtl w:val="0"/>
        </w:rPr>
      </w:r>
    </w:p>
    <w:p w:rsidR="00000000" w:rsidDel="00000000" w:rsidP="00000000" w:rsidRDefault="00000000" w:rsidRPr="00000000" w14:paraId="0000000A">
      <w:pPr>
        <w:pStyle w:val="Heading1"/>
        <w:tabs>
          <w:tab w:val="left" w:leader="none" w:pos="3960"/>
        </w:tabs>
        <w:spacing w:line="360" w:lineRule="auto"/>
        <w:rPr/>
      </w:pPr>
      <w:bookmarkStart w:colFirst="0" w:colLast="0" w:name="_heading=h.lkcz0h6zou1" w:id="2"/>
      <w:bookmarkEnd w:id="2"/>
      <w:r w:rsidDel="00000000" w:rsidR="00000000" w:rsidRPr="00000000">
        <w:rPr>
          <w:rtl w:val="0"/>
        </w:rPr>
        <w:t xml:space="preserve">1. Confusión y complejidad en el tema</w:t>
      </w:r>
    </w:p>
    <w:p w:rsidR="00000000" w:rsidDel="00000000" w:rsidP="00000000" w:rsidRDefault="00000000" w:rsidRPr="00000000" w14:paraId="0000000B">
      <w:pPr>
        <w:tabs>
          <w:tab w:val="left" w:leader="none" w:pos="3960"/>
        </w:tabs>
        <w:spacing w:line="360" w:lineRule="auto"/>
        <w:rPr/>
      </w:pPr>
      <w:r w:rsidDel="00000000" w:rsidR="00000000" w:rsidRPr="00000000">
        <w:rPr>
          <w:rtl w:val="0"/>
        </w:rPr>
        <w:t xml:space="preserve">1. Confusión en el tema.</w:t>
      </w:r>
    </w:p>
    <w:p w:rsidR="00000000" w:rsidDel="00000000" w:rsidP="00000000" w:rsidRDefault="00000000" w:rsidRPr="00000000" w14:paraId="0000000C">
      <w:pPr>
        <w:tabs>
          <w:tab w:val="left" w:leader="none" w:pos="3960"/>
        </w:tabs>
        <w:spacing w:line="360" w:lineRule="auto"/>
        <w:rPr/>
      </w:pPr>
      <w:r w:rsidDel="00000000" w:rsidR="00000000" w:rsidRPr="00000000">
        <w:rPr>
          <w:rtl w:val="0"/>
        </w:rPr>
        <w:t xml:space="preserve">En la 6a edición de sus Fundamentos de Derecho civil patrimonial, Díez- Picazo dedica, por primera vez, un apartado a los deberes precontractuales de información; y señala al respecto que: “No puede dudarse de la existencia de deberes precontractuales de información, regidos en muy buena medida por los criterios de buena fe y uso de los negocios [...]. Debemos dar por supuesto que el deber de información es también del deber de que la información facilitada sea veraz o, por lo menos, responda al conocimiento que la parte que la suministra pueda tener al respecto. La materia expuesta y la introducción de criterios valorativos y de arbitrariedad, debe arrancar de dos premisas claras. Es la primera que corresponde a cada parte el deber de buscar la información [...] La segunda es el deber de dar respuesta a las peticiones expresas de información que la otra parte pueda formular. Sin embargo, más allá de estas claras premisas iniciales, la zona de investigación se torna por demás confusa. No puede decirse fácilmente que una de las partes esté en el deber de informar a la otra por el hecho de que esta última se encuentre en una situación de imposibilidad o gran dificultad de obtener información por sí misma [...]. / Puede admitirse que, en algunos casos, cuando entre las partes existe una situación de específica confianza, esta determine un especial deber de información [...]./ Tampoco es especialmente claro si en la existencia de los deberes precontractuales de información influye el que esta última sea costosa o no”.</w:t>
      </w:r>
    </w:p>
    <w:p w:rsidR="00000000" w:rsidDel="00000000" w:rsidP="00000000" w:rsidRDefault="00000000" w:rsidRPr="00000000" w14:paraId="0000000D">
      <w:pPr>
        <w:tabs>
          <w:tab w:val="left" w:leader="none" w:pos="3960"/>
        </w:tabs>
        <w:spacing w:line="360" w:lineRule="auto"/>
        <w:rPr/>
      </w:pPr>
      <w:r w:rsidDel="00000000" w:rsidR="00000000" w:rsidRPr="00000000">
        <w:rPr>
          <w:rtl w:val="0"/>
        </w:rPr>
      </w:r>
    </w:p>
    <w:p w:rsidR="00000000" w:rsidDel="00000000" w:rsidP="00000000" w:rsidRDefault="00000000" w:rsidRPr="00000000" w14:paraId="0000000E">
      <w:pPr>
        <w:tabs>
          <w:tab w:val="left" w:leader="none" w:pos="3960"/>
        </w:tabs>
        <w:spacing w:line="360" w:lineRule="auto"/>
        <w:rPr/>
      </w:pPr>
      <w:r w:rsidDel="00000000" w:rsidR="00000000" w:rsidRPr="00000000">
        <w:rPr>
          <w:rtl w:val="0"/>
        </w:rPr>
        <w:t xml:space="preserve">Al desmontar estos lúcidos párrafos se obtiene lo siguiente: i) en los ordenamientos jurídicos existen deberes precontractuales de información regidos, en buena medida, por criterios de buena fe y los usos de los negocios; ii) Existen al menos dos premisas claras: cada parte tiene la carga de proveerse información y el deber de responder a las preguntas que se le formulen en el curso de la negociación; y iii) más allá de estas dos premisas reina la confusión.</w:t>
      </w:r>
    </w:p>
    <w:p w:rsidR="00000000" w:rsidDel="00000000" w:rsidP="00000000" w:rsidRDefault="00000000" w:rsidRPr="00000000" w14:paraId="0000000F">
      <w:pPr>
        <w:tabs>
          <w:tab w:val="left" w:leader="none" w:pos="3960"/>
        </w:tabs>
        <w:spacing w:line="360" w:lineRule="auto"/>
        <w:rPr/>
      </w:pPr>
      <w:r w:rsidDel="00000000" w:rsidR="00000000" w:rsidRPr="00000000">
        <w:rPr>
          <w:rtl w:val="0"/>
        </w:rPr>
      </w:r>
    </w:p>
    <w:p w:rsidR="00000000" w:rsidDel="00000000" w:rsidP="00000000" w:rsidRDefault="00000000" w:rsidRPr="00000000" w14:paraId="00000010">
      <w:pPr>
        <w:tabs>
          <w:tab w:val="left" w:leader="none" w:pos="3960"/>
        </w:tabs>
        <w:spacing w:line="360" w:lineRule="auto"/>
        <w:rPr/>
      </w:pPr>
      <w:r w:rsidDel="00000000" w:rsidR="00000000" w:rsidRPr="00000000">
        <w:rPr>
          <w:rtl w:val="0"/>
        </w:rPr>
      </w:r>
    </w:p>
    <w:p w:rsidR="00000000" w:rsidDel="00000000" w:rsidP="00000000" w:rsidRDefault="00000000" w:rsidRPr="00000000" w14:paraId="00000011">
      <w:pPr>
        <w:tabs>
          <w:tab w:val="left" w:leader="none" w:pos="3960"/>
        </w:tabs>
        <w:spacing w:line="360" w:lineRule="auto"/>
        <w:rPr/>
      </w:pPr>
      <w:r w:rsidDel="00000000" w:rsidR="00000000" w:rsidRPr="00000000">
        <w:rPr>
          <w:rtl w:val="0"/>
        </w:rPr>
        <w:t xml:space="preserve">La primera de estas afirmaciones resulta indiscutible, tanto para los países pertenecientes a la tradición del Derecho civil como a aquellos del “Common law”. La segunda afirmación resulta seductora, pero debe ser severamente matizada. Ninguna de las dos premisas apuntadas por el autor es totalmente clara. Empezando por la primera, no es evidente que, en todo caso, las partes que negocian un contrato tengan la carga de procurarse su propia información. Así, si entre ellas existe una relación de confianza no será el caso. Es lo que sucede, por ejemplo, en el contrato de mandato3. Con respecto a la segunda premisa, no siempre resulta evidente que se deba dar respuesta a las peticiones expresas de información. Así, por ejemplo, Barnett ha sugerido que un vendedor no puede pretender que el comprador le conteste con honradez a la pregunta de si estaría dispuesto a pagar más por lo que le estoy vendiendo. Cualquiera que se involucre en una negociación sabe que la respuesta “no, esta es mi última oferta” no constituye un engaño que la ley sancione. Finalmente, la tercera afirmación referida a la confusión imperante en este campo de estudio, parece verdadera en un sentido aún más radical de lo que el propio Díez-Picazo piensa. Después de todo, prestándoles atención, ni siquiera las dos premisas que presenta como claras el autor lo son.</w:t>
      </w:r>
    </w:p>
    <w:p w:rsidR="00000000" w:rsidDel="00000000" w:rsidP="00000000" w:rsidRDefault="00000000" w:rsidRPr="00000000" w14:paraId="00000012">
      <w:pPr>
        <w:tabs>
          <w:tab w:val="left" w:leader="none" w:pos="3960"/>
        </w:tabs>
        <w:spacing w:line="360" w:lineRule="auto"/>
        <w:rPr/>
      </w:pPr>
      <w:r w:rsidDel="00000000" w:rsidR="00000000" w:rsidRPr="00000000">
        <w:rPr>
          <w:rtl w:val="0"/>
        </w:rPr>
      </w:r>
    </w:p>
    <w:p w:rsidR="00000000" w:rsidDel="00000000" w:rsidP="00000000" w:rsidRDefault="00000000" w:rsidRPr="00000000" w14:paraId="00000013">
      <w:pPr>
        <w:tabs>
          <w:tab w:val="left" w:leader="none" w:pos="3960"/>
        </w:tabs>
        <w:spacing w:line="360" w:lineRule="auto"/>
        <w:rPr/>
      </w:pPr>
      <w:r w:rsidDel="00000000" w:rsidR="00000000" w:rsidRPr="00000000">
        <w:rPr>
          <w:rtl w:val="0"/>
        </w:rPr>
        <w:t xml:space="preserve">En síntesis, entonces, en primer lugar, suele aceptarse la existencia de deberes precontractuales de información y, en segundo lugar, se trata de una zona de investigación confusa.</w:t>
      </w:r>
    </w:p>
    <w:p w:rsidR="00000000" w:rsidDel="00000000" w:rsidP="00000000" w:rsidRDefault="00000000" w:rsidRPr="00000000" w14:paraId="00000014">
      <w:pPr>
        <w:tabs>
          <w:tab w:val="left" w:leader="none" w:pos="3960"/>
        </w:tabs>
        <w:spacing w:line="360" w:lineRule="auto"/>
        <w:rPr/>
      </w:pPr>
      <w:r w:rsidDel="00000000" w:rsidR="00000000" w:rsidRPr="00000000">
        <w:rPr>
          <w:rtl w:val="0"/>
        </w:rPr>
      </w:r>
    </w:p>
    <w:p w:rsidR="00000000" w:rsidDel="00000000" w:rsidP="00000000" w:rsidRDefault="00000000" w:rsidRPr="00000000" w14:paraId="00000015">
      <w:pPr>
        <w:pStyle w:val="Heading1"/>
        <w:tabs>
          <w:tab w:val="left" w:leader="none" w:pos="3960"/>
        </w:tabs>
        <w:spacing w:line="360" w:lineRule="auto"/>
        <w:rPr/>
      </w:pPr>
      <w:bookmarkStart w:colFirst="0" w:colLast="0" w:name="_heading=h.cl27h5qgc6f1" w:id="3"/>
      <w:bookmarkEnd w:id="3"/>
      <w:r w:rsidDel="00000000" w:rsidR="00000000" w:rsidRPr="00000000">
        <w:rPr>
          <w:rtl w:val="0"/>
        </w:rPr>
        <w:t xml:space="preserve">2. Complejidad en el tema.</w:t>
      </w:r>
    </w:p>
    <w:p w:rsidR="00000000" w:rsidDel="00000000" w:rsidP="00000000" w:rsidRDefault="00000000" w:rsidRPr="00000000" w14:paraId="00000016">
      <w:pPr>
        <w:tabs>
          <w:tab w:val="left" w:leader="none" w:pos="3960"/>
        </w:tabs>
        <w:spacing w:line="360" w:lineRule="auto"/>
        <w:rPr/>
      </w:pPr>
      <w:r w:rsidDel="00000000" w:rsidR="00000000" w:rsidRPr="00000000">
        <w:rPr>
          <w:rtl w:val="0"/>
        </w:rPr>
        <w:t xml:space="preserve">Una primera idea que pretendo defender en este trabajo es que la confusión que impera en el tema se explica por su complejidad y que esta última obedece —al menos en parte importante— a los diversos intereses que es necesario tener en cuenta cuando se diseñan deberes precontractuales de información.</w:t>
      </w:r>
    </w:p>
    <w:p w:rsidR="00000000" w:rsidDel="00000000" w:rsidP="00000000" w:rsidRDefault="00000000" w:rsidRPr="00000000" w14:paraId="00000017">
      <w:pPr>
        <w:tabs>
          <w:tab w:val="left" w:leader="none" w:pos="3960"/>
        </w:tabs>
        <w:spacing w:line="360" w:lineRule="auto"/>
        <w:rPr/>
      </w:pPr>
      <w:r w:rsidDel="00000000" w:rsidR="00000000" w:rsidRPr="00000000">
        <w:rPr>
          <w:rtl w:val="0"/>
        </w:rPr>
      </w:r>
    </w:p>
    <w:p w:rsidR="00000000" w:rsidDel="00000000" w:rsidP="00000000" w:rsidRDefault="00000000" w:rsidRPr="00000000" w14:paraId="00000018">
      <w:pPr>
        <w:tabs>
          <w:tab w:val="left" w:leader="none" w:pos="3960"/>
        </w:tabs>
        <w:spacing w:line="360" w:lineRule="auto"/>
        <w:rPr/>
      </w:pPr>
      <w:r w:rsidDel="00000000" w:rsidR="00000000" w:rsidRPr="00000000">
        <w:rPr>
          <w:rtl w:val="0"/>
        </w:rPr>
        <w:t xml:space="preserve">En un conocido trabajo de 1964, Friedrich Kessler y Edith Fine señalaron que una investigación acerca del deber de informar conduce directamente a la filosofía que subyace al derecho de contratos. Esto puede ser correcto, sin embargo, una vez que se destapa el derecho de contratos, lo que se encuentra no es exactamente “la” filosofía que subyace a su diseño, sino más bien las tensiones que imponen a las reglas jurídicas los diversos —y eventualmente contradictorios— fines que se busca servir a través de ellas6. Tratándose de los deberes precontractuales de información, los intereses son múltiples y, eventualmente contradictorios. No resulta necesario intentar presentar un catálogo taxativo de ellos, sino que bastará mostrar su multiplicidad y eventual antinomia. Un caso debería contribuir en esta tarea.</w:t>
      </w:r>
    </w:p>
    <w:p w:rsidR="00000000" w:rsidDel="00000000" w:rsidP="00000000" w:rsidRDefault="00000000" w:rsidRPr="00000000" w14:paraId="00000019">
      <w:pPr>
        <w:tabs>
          <w:tab w:val="left" w:leader="none" w:pos="3960"/>
        </w:tabs>
        <w:spacing w:line="360" w:lineRule="auto"/>
        <w:rPr/>
      </w:pPr>
      <w:r w:rsidDel="00000000" w:rsidR="00000000" w:rsidRPr="00000000">
        <w:rPr>
          <w:rtl w:val="0"/>
        </w:rPr>
      </w:r>
    </w:p>
    <w:p w:rsidR="00000000" w:rsidDel="00000000" w:rsidP="00000000" w:rsidRDefault="00000000" w:rsidRPr="00000000" w14:paraId="0000001A">
      <w:pPr>
        <w:tabs>
          <w:tab w:val="left" w:leader="none" w:pos="3960"/>
        </w:tabs>
        <w:spacing w:line="360" w:lineRule="auto"/>
        <w:rPr/>
      </w:pPr>
      <w:r w:rsidDel="00000000" w:rsidR="00000000" w:rsidRPr="00000000">
        <w:rPr>
          <w:rtl w:val="0"/>
        </w:rPr>
        <w:t xml:space="preserve">Durante el mes de agosto de 1986, Larry Trawick y Charles Brown, quienes se dedicaban profesionalmente a la especulación en derechos sobre minerales (“mineral interests”), tuvieron conocimiento de ciertas actividades de prospección minera (“drilling”) en Comanche County, Oklahoma. A través de algunas pesquisas se informaron de que las prospecciones mostraban que los terrenos poseían ricos depósitos de minerales. Una investigación acerca de quiénes eran los propietarios de los derechos sobre minerales en la zona los llevó a Hedwig Zimpel, a la sazón una mujer de avanzada edad y afectada por una enfermedad terminal, incapaz de afrontar sus gastos médicos. Trawick tomó contacto con ella y le ofreció comprarle todos sus derechos de explotación. Finalmente acordaron la venta de 15 acres por 30.000 dólares. Aproximadamente veinte días después de la celebración del contrato, los compradores vendieron rápidamente los 15 acres por 49.500 dólares. El albacea de Zimpel demandó a Trawick y Brown por fraude y engaño (“fraud and deceit”) solicitando que se condenara a estos a pagarle la diferencia de precio que habían obtenido y los daños punitivos.</w:t>
      </w:r>
    </w:p>
    <w:p w:rsidR="00000000" w:rsidDel="00000000" w:rsidP="00000000" w:rsidRDefault="00000000" w:rsidRPr="00000000" w14:paraId="0000001B">
      <w:pPr>
        <w:tabs>
          <w:tab w:val="left" w:leader="none" w:pos="3960"/>
        </w:tabs>
        <w:spacing w:line="360" w:lineRule="auto"/>
        <w:rPr/>
      </w:pPr>
      <w:r w:rsidDel="00000000" w:rsidR="00000000" w:rsidRPr="00000000">
        <w:rPr>
          <w:rtl w:val="0"/>
        </w:rPr>
      </w:r>
    </w:p>
    <w:p w:rsidR="00000000" w:rsidDel="00000000" w:rsidP="00000000" w:rsidRDefault="00000000" w:rsidRPr="00000000" w14:paraId="0000001C">
      <w:pPr>
        <w:tabs>
          <w:tab w:val="left" w:leader="none" w:pos="3960"/>
        </w:tabs>
        <w:spacing w:line="360" w:lineRule="auto"/>
        <w:rPr/>
      </w:pPr>
      <w:r w:rsidDel="00000000" w:rsidR="00000000" w:rsidRPr="00000000">
        <w:rPr>
          <w:rtl w:val="0"/>
        </w:rPr>
        <w:t xml:space="preserve">Un primer interés —acaso el más evidente a simple vista— es la libertad contractual, entendida como la libertad de decisión, es decir, la pretensión normativa de que las personas únicamente queden vinculadas por un contrato cuando así lo deciden y que esa decisión no sólo debe ser libre en el sentido que no sea coaccionada, sino, además, de que sea querida y esto último precisa que la decisión se haya tomado con la información suficiente. En este sentido los deberes precontractuales de información suelen considerarse como medidas que tutelan la correcta formación de la voluntad, favoreciendo un consentimiento libre y reflexivo10. Resulta evidente que la voluntad de la vendedora no satisfizo esos requisitos. Parece claro que si hubiese tenido noticia de los depósitos de minerales subyacentes a su propiedad no lo hubiera vendido en los mismos términos que lo hizo.</w:t>
      </w:r>
    </w:p>
    <w:p w:rsidR="00000000" w:rsidDel="00000000" w:rsidP="00000000" w:rsidRDefault="00000000" w:rsidRPr="00000000" w14:paraId="0000001D">
      <w:pPr>
        <w:tabs>
          <w:tab w:val="left" w:leader="none" w:pos="3960"/>
        </w:tabs>
        <w:spacing w:line="360" w:lineRule="auto"/>
        <w:rPr/>
      </w:pPr>
      <w:r w:rsidDel="00000000" w:rsidR="00000000" w:rsidRPr="00000000">
        <w:rPr>
          <w:rtl w:val="0"/>
        </w:rPr>
      </w:r>
    </w:p>
    <w:p w:rsidR="00000000" w:rsidDel="00000000" w:rsidP="00000000" w:rsidRDefault="00000000" w:rsidRPr="00000000" w14:paraId="0000001E">
      <w:pPr>
        <w:tabs>
          <w:tab w:val="left" w:leader="none" w:pos="3960"/>
        </w:tabs>
        <w:spacing w:line="360" w:lineRule="auto"/>
        <w:rPr/>
      </w:pPr>
      <w:r w:rsidDel="00000000" w:rsidR="00000000" w:rsidRPr="00000000">
        <w:rPr>
          <w:rtl w:val="0"/>
        </w:rPr>
        <w:t xml:space="preserve">Sin embargo, conviene recordar que Zimpel estaba vendiendo un terreno de su propiedad, en el que había habitado hace largos años y que, además, con un mínimo de diligencia podría haberse enterado de que existían depósitos de minerales en las cercanías, o al menos podría haber preguntado a los compradores acerca de su interés en el predio. Interesa al derecho que las partes se comporten diligentemente mientras negocian y, con ciertos matices relevantes, se acepta que, en caso contrario, deben soportar el costo de sus errores, es lo que podría denominarse el “principio de autorresponsabilidad”. Si se acepta que un interés que promueve el ordenamiento jurídico consiste en incentivar un comportamiento diligente de las partes durante la negociación del contrato y, a la vez, se considera que Zimpel fue negligente, entonces deja de resultar obvio que se le deba proteger a través de la imposición de deberes precontractuales de información.</w:t>
      </w:r>
    </w:p>
    <w:p w:rsidR="00000000" w:rsidDel="00000000" w:rsidP="00000000" w:rsidRDefault="00000000" w:rsidRPr="00000000" w14:paraId="0000001F">
      <w:pPr>
        <w:tabs>
          <w:tab w:val="left" w:leader="none" w:pos="3960"/>
        </w:tabs>
        <w:spacing w:line="360" w:lineRule="auto"/>
        <w:rPr/>
      </w:pPr>
      <w:r w:rsidDel="00000000" w:rsidR="00000000" w:rsidRPr="00000000">
        <w:rPr>
          <w:rtl w:val="0"/>
        </w:rPr>
      </w:r>
    </w:p>
    <w:p w:rsidR="00000000" w:rsidDel="00000000" w:rsidP="00000000" w:rsidRDefault="00000000" w:rsidRPr="00000000" w14:paraId="00000020">
      <w:pPr>
        <w:tabs>
          <w:tab w:val="left" w:leader="none" w:pos="3960"/>
        </w:tabs>
        <w:spacing w:line="360" w:lineRule="auto"/>
        <w:rPr/>
      </w:pPr>
      <w:r w:rsidDel="00000000" w:rsidR="00000000" w:rsidRPr="00000000">
        <w:rPr>
          <w:rtl w:val="0"/>
        </w:rPr>
        <w:t xml:space="preserve">Que el ordenamiento jurídico aspire a un comportamiento diligente de las partes en sus negociaciones no obsta —aunque sí introduce tensiones— a que, a la vez, se exija a éstas actuar con un cierto grado de lealtad y honradez. A este interés puede denominársele “lealtad contractual” y exige que, durante la negociación del contrato, las partes se abstengan de ciertas conductas estratégicas y tutelen no solamente sus intereses sino que, en cierto grado, los intereses de la otra. En el caso de Zimpel conviene preguntarse si, en un caso como éste, el principio de lealtad contractual no exige a una parte que dispone de información que la otra ignora tutelar los intereses de esta última cuando se trata de una persona de avanzada edad y en un estado de salud terminal.</w:t>
      </w:r>
    </w:p>
    <w:p w:rsidR="00000000" w:rsidDel="00000000" w:rsidP="00000000" w:rsidRDefault="00000000" w:rsidRPr="00000000" w14:paraId="00000021">
      <w:pPr>
        <w:tabs>
          <w:tab w:val="left" w:leader="none" w:pos="3960"/>
        </w:tabs>
        <w:spacing w:line="360" w:lineRule="auto"/>
        <w:rPr/>
      </w:pPr>
      <w:r w:rsidDel="00000000" w:rsidR="00000000" w:rsidRPr="00000000">
        <w:rPr>
          <w:rtl w:val="0"/>
        </w:rPr>
      </w:r>
    </w:p>
    <w:p w:rsidR="00000000" w:rsidDel="00000000" w:rsidP="00000000" w:rsidRDefault="00000000" w:rsidRPr="00000000" w14:paraId="00000022">
      <w:pPr>
        <w:tabs>
          <w:tab w:val="left" w:leader="none" w:pos="3960"/>
        </w:tabs>
        <w:spacing w:line="360" w:lineRule="auto"/>
        <w:rPr/>
      </w:pPr>
      <w:r w:rsidDel="00000000" w:rsidR="00000000" w:rsidRPr="00000000">
        <w:rPr>
          <w:rtl w:val="0"/>
        </w:rPr>
        <w:t xml:space="preserve">Finalmente —aunque, desde luego, sin ánimo exhaustivo— es posible identificar un interés consistente en incentivar la producción y difusión de información socialmente valiosa. Lo que los compradores sabían —y la vendedora ignoraba— era la existencia de un yacimiento mineral, dicha información es socialmente valiosa en el sentido de que aumenta la riqueza social. Por otra parte, para que se invierta en producir información y se utilice es necesario que los agentes económicos dispongan de incentivos, en este caso la posibilidad de que los compradores internalicen los beneficios de la información de que disponen. Como es evidente, la imposición de un deber precontractual de información obstaculiza esta posibilidad.</w:t>
      </w:r>
    </w:p>
    <w:p w:rsidR="00000000" w:rsidDel="00000000" w:rsidP="00000000" w:rsidRDefault="00000000" w:rsidRPr="00000000" w14:paraId="00000023">
      <w:pPr>
        <w:tabs>
          <w:tab w:val="left" w:leader="none" w:pos="3960"/>
        </w:tabs>
        <w:spacing w:line="360" w:lineRule="auto"/>
        <w:rPr/>
      </w:pPr>
      <w:r w:rsidDel="00000000" w:rsidR="00000000" w:rsidRPr="00000000">
        <w:rPr>
          <w:rtl w:val="0"/>
        </w:rPr>
      </w:r>
    </w:p>
    <w:p w:rsidR="00000000" w:rsidDel="00000000" w:rsidP="00000000" w:rsidRDefault="00000000" w:rsidRPr="00000000" w14:paraId="00000024">
      <w:pPr>
        <w:pStyle w:val="Heading1"/>
        <w:tabs>
          <w:tab w:val="left" w:leader="none" w:pos="3960"/>
        </w:tabs>
        <w:spacing w:line="360" w:lineRule="auto"/>
        <w:rPr/>
      </w:pPr>
      <w:bookmarkStart w:colFirst="0" w:colLast="0" w:name="_heading=h.o5d10y8yqfrd" w:id="4"/>
      <w:bookmarkEnd w:id="4"/>
      <w:r w:rsidDel="00000000" w:rsidR="00000000" w:rsidRPr="00000000">
        <w:rPr>
          <w:rtl w:val="0"/>
        </w:rPr>
        <w:t xml:space="preserve">II. La concreción de los deberes</w:t>
      </w:r>
    </w:p>
    <w:p w:rsidR="00000000" w:rsidDel="00000000" w:rsidP="00000000" w:rsidRDefault="00000000" w:rsidRPr="00000000" w14:paraId="00000025">
      <w:pPr>
        <w:pStyle w:val="Heading1"/>
        <w:tabs>
          <w:tab w:val="left" w:leader="none" w:pos="3960"/>
        </w:tabs>
        <w:spacing w:line="360" w:lineRule="auto"/>
        <w:rPr/>
      </w:pPr>
      <w:bookmarkStart w:colFirst="0" w:colLast="0" w:name="_heading=h.ylo20ym2rw55" w:id="5"/>
      <w:bookmarkEnd w:id="5"/>
      <w:r w:rsidDel="00000000" w:rsidR="00000000" w:rsidRPr="00000000">
        <w:rPr>
          <w:rtl w:val="0"/>
        </w:rPr>
        <w:t xml:space="preserve">PRECONTRACTUALES DE INFORMACIÓN</w:t>
      </w:r>
    </w:p>
    <w:p w:rsidR="00000000" w:rsidDel="00000000" w:rsidP="00000000" w:rsidRDefault="00000000" w:rsidRPr="00000000" w14:paraId="00000026">
      <w:pPr>
        <w:tabs>
          <w:tab w:val="left" w:leader="none" w:pos="3960"/>
        </w:tabs>
        <w:spacing w:line="360" w:lineRule="auto"/>
        <w:rPr/>
      </w:pPr>
      <w:r w:rsidDel="00000000" w:rsidR="00000000" w:rsidRPr="00000000">
        <w:rPr>
          <w:rtl w:val="0"/>
        </w:rPr>
        <w:t xml:space="preserve">La presencia de intereses contradictorios como los apuntados en el apartado anterior determina la necesidad de disponer de formas de resolver la tensión que, eventualmente, se suscita entre ellos. La segunda idea que me interesa presentar en estas páginas es que cuando se presta atención a la forma en que se resuelve esta tensión en el ordenamiento jurídico nacional se descubre una peculiaridad de la manera en que se encuentran configurados los deberes precontractuales de información que contribuye a aligerar la confusión que, a ratos, impera en su estudio.</w:t>
      </w:r>
    </w:p>
    <w:p w:rsidR="00000000" w:rsidDel="00000000" w:rsidP="00000000" w:rsidRDefault="00000000" w:rsidRPr="00000000" w14:paraId="00000027">
      <w:pPr>
        <w:tabs>
          <w:tab w:val="left" w:leader="none" w:pos="3960"/>
        </w:tabs>
        <w:spacing w:line="360" w:lineRule="auto"/>
        <w:rPr/>
      </w:pPr>
      <w:r w:rsidDel="00000000" w:rsidR="00000000" w:rsidRPr="00000000">
        <w:rPr>
          <w:rtl w:val="0"/>
        </w:rPr>
      </w:r>
    </w:p>
    <w:p w:rsidR="00000000" w:rsidDel="00000000" w:rsidP="00000000" w:rsidRDefault="00000000" w:rsidRPr="00000000" w14:paraId="00000028">
      <w:pPr>
        <w:tabs>
          <w:tab w:val="left" w:leader="none" w:pos="3960"/>
        </w:tabs>
        <w:spacing w:line="360" w:lineRule="auto"/>
        <w:rPr/>
      </w:pPr>
      <w:r w:rsidDel="00000000" w:rsidR="00000000" w:rsidRPr="00000000">
        <w:rPr>
          <w:rtl w:val="0"/>
        </w:rPr>
        <w:t xml:space="preserve">Para mostrar esta peculiaridad me serviré de un caso resuelto, en definitiva por la Corte Suprema durante el año 2008 (“Glide Diversiones Limitada con Compañía de Inversiones y Desarrollo Sur S. A”) y dos normas jurídicas. Una perteneciente al Código Civil y la otra a la ley 19.496 sobre protección de los consumidores.</w:t>
      </w:r>
    </w:p>
    <w:p w:rsidR="00000000" w:rsidDel="00000000" w:rsidP="00000000" w:rsidRDefault="00000000" w:rsidRPr="00000000" w14:paraId="00000029">
      <w:pPr>
        <w:tabs>
          <w:tab w:val="left" w:leader="none" w:pos="3960"/>
        </w:tabs>
        <w:spacing w:line="360" w:lineRule="auto"/>
        <w:rPr/>
      </w:pPr>
      <w:r w:rsidDel="00000000" w:rsidR="00000000" w:rsidRPr="00000000">
        <w:rPr>
          <w:rtl w:val="0"/>
        </w:rPr>
      </w:r>
    </w:p>
    <w:p w:rsidR="00000000" w:rsidDel="00000000" w:rsidP="00000000" w:rsidRDefault="00000000" w:rsidRPr="00000000" w14:paraId="0000002A">
      <w:pPr>
        <w:pStyle w:val="Heading1"/>
        <w:tabs>
          <w:tab w:val="left" w:leader="none" w:pos="3960"/>
        </w:tabs>
        <w:spacing w:line="360" w:lineRule="auto"/>
        <w:rPr/>
      </w:pPr>
      <w:bookmarkStart w:colFirst="0" w:colLast="0" w:name="_heading=h.l3mivul6d5hm" w:id="6"/>
      <w:bookmarkEnd w:id="6"/>
      <w:r w:rsidDel="00000000" w:rsidR="00000000" w:rsidRPr="00000000">
        <w:rPr>
          <w:rtl w:val="0"/>
        </w:rPr>
        <w:t xml:space="preserve">1. El caso.</w:t>
      </w:r>
    </w:p>
    <w:p w:rsidR="00000000" w:rsidDel="00000000" w:rsidP="00000000" w:rsidRDefault="00000000" w:rsidRPr="00000000" w14:paraId="0000002B">
      <w:pPr>
        <w:tabs>
          <w:tab w:val="left" w:leader="none" w:pos="3960"/>
        </w:tabs>
        <w:spacing w:line="360" w:lineRule="auto"/>
        <w:rPr/>
      </w:pPr>
      <w:r w:rsidDel="00000000" w:rsidR="00000000" w:rsidRPr="00000000">
        <w:rPr>
          <w:rtl w:val="0"/>
        </w:rPr>
        <w:t xml:space="preserve">El 1 de octubre de 2001 se celebró un contrato de arrendamiento de inmueble entre la Sociedad Glide Diversiones Limitada (en adelante Glide, la arrendataria o la demandante) y la Compañía de Inversiones y Desarrollo Sur S. A. (en adelante Cidsur, la arrendadora o la demandada). De acuerdo a la cláusula segunda de dicho contrato, el predio se destinaría exclusivamente a la instalación, manejo y desarrollo de un mini golf y las actividades relacionadas con el negocio. Después de iniciados los trabajos de habilitación por la arrendataria, ésta presentó los antecedentes a la Dirección de Obras de la Municipalidad de Vitacura para su aprobación. Su solicitud fue rechazada, señalándose que el predio no se encontraba urbanizado, no contaba con permiso de edificación ni con recepción final. Los representantes de la arrendataria y de la arrendadora se reunieron con el Director de Obras de la Municipalidad, el que les informa que el terreno mayor en el cual se encuentra el predio arrendado no ha adoptado la línea oficial, por lo tanto no obtendrá patente ni recepción final mientras no se urbanice y adopte la línea oficial. Agrega además, que el terreno mayor tiene una franja sujeta a utilidad pública, de manera que para obtener los respectivos permisos el propietario debe hacer cesión de dicha franja.</w:t>
      </w:r>
    </w:p>
    <w:p w:rsidR="00000000" w:rsidDel="00000000" w:rsidP="00000000" w:rsidRDefault="00000000" w:rsidRPr="00000000" w14:paraId="0000002C">
      <w:pPr>
        <w:tabs>
          <w:tab w:val="left" w:leader="none" w:pos="3960"/>
        </w:tabs>
        <w:spacing w:line="360" w:lineRule="auto"/>
        <w:rPr/>
      </w:pPr>
      <w:r w:rsidDel="00000000" w:rsidR="00000000" w:rsidRPr="00000000">
        <w:rPr>
          <w:rtl w:val="0"/>
        </w:rPr>
      </w:r>
    </w:p>
    <w:p w:rsidR="00000000" w:rsidDel="00000000" w:rsidP="00000000" w:rsidRDefault="00000000" w:rsidRPr="00000000" w14:paraId="0000002D">
      <w:pPr>
        <w:tabs>
          <w:tab w:val="left" w:leader="none" w:pos="3960"/>
        </w:tabs>
        <w:spacing w:line="360" w:lineRule="auto"/>
        <w:rPr/>
      </w:pPr>
      <w:r w:rsidDel="00000000" w:rsidR="00000000" w:rsidRPr="00000000">
        <w:rPr>
          <w:rtl w:val="0"/>
        </w:rPr>
        <w:t xml:space="preserve">En lo que aquí interesa, la arrendadora apeló una sentencia desfavorable de primera instancia, señalando que no se encontraba obligada a informar a la demandante del estado legal en el que se encontraba el predio arrendado; específicamente porque la cláusula segunda del contrato de arrendamiento establecía que serían de cargo de la arrendataria obtener las autorizaciones municipales pertinentes. Además, señala la arrendadora, la demandante fue negligente al no haberse cerciorado previamente a la celebración del contrato de las exigencias urbanísticas aplicables al desarrollo del proyecto. Esta argumentación no convenció a la Corte de Apelaciones. El tribunal de alzada considera, en lo que es pertinente aquí, que no puede entenderse “que la mencionada cláusula haya liberado a la demandada de su obligación de informar a la demandante acerca del estado o situación legal del inmueble, obligación a la que, desde luego, no pudo haber renunciado, atendido el principio de buena fe que debe estar presente en todo contrato”. Más adelante, añade la Corte: “La expectativa es que en esta etapa [la pre contractual], los contratantes se den toda la información necesaria para definir los términos del contrato y que esté orientada a ilustrar de la mejor forma a la otra parte, en una actitud de corrección y lealtad’. </w:t>
      </w:r>
    </w:p>
    <w:p w:rsidR="00000000" w:rsidDel="00000000" w:rsidP="00000000" w:rsidRDefault="00000000" w:rsidRPr="00000000" w14:paraId="0000002E">
      <w:pPr>
        <w:tabs>
          <w:tab w:val="left" w:leader="none" w:pos="3960"/>
        </w:tabs>
        <w:spacing w:line="360" w:lineRule="auto"/>
        <w:rPr/>
      </w:pPr>
      <w:r w:rsidDel="00000000" w:rsidR="00000000" w:rsidRPr="00000000">
        <w:rPr>
          <w:rtl w:val="0"/>
        </w:rPr>
      </w:r>
    </w:p>
    <w:p w:rsidR="00000000" w:rsidDel="00000000" w:rsidP="00000000" w:rsidRDefault="00000000" w:rsidRPr="00000000" w14:paraId="0000002F">
      <w:pPr>
        <w:pStyle w:val="Heading1"/>
        <w:tabs>
          <w:tab w:val="left" w:leader="none" w:pos="3960"/>
        </w:tabs>
        <w:spacing w:line="360" w:lineRule="auto"/>
        <w:rPr/>
      </w:pPr>
      <w:bookmarkStart w:colFirst="0" w:colLast="0" w:name="_heading=h.d3ef5i92tehu" w:id="7"/>
      <w:bookmarkEnd w:id="7"/>
      <w:r w:rsidDel="00000000" w:rsidR="00000000" w:rsidRPr="00000000">
        <w:rPr>
          <w:rtl w:val="0"/>
        </w:rPr>
        <w:t xml:space="preserve">2. Las normas.</w:t>
      </w:r>
    </w:p>
    <w:p w:rsidR="00000000" w:rsidDel="00000000" w:rsidP="00000000" w:rsidRDefault="00000000" w:rsidRPr="00000000" w14:paraId="00000030">
      <w:pPr>
        <w:tabs>
          <w:tab w:val="left" w:leader="none" w:pos="3960"/>
        </w:tabs>
        <w:spacing w:line="360" w:lineRule="auto"/>
        <w:rPr/>
      </w:pPr>
      <w:r w:rsidDel="00000000" w:rsidR="00000000" w:rsidRPr="00000000">
        <w:rPr>
          <w:rtl w:val="0"/>
        </w:rPr>
        <w:t xml:space="preserve">Comienzo por el artículo 1861 CC.. Una lectura atenta a este precepto muestra que reúne dos supuestos de responsabilidad, el del vendedor que conociendo los vicios de que adolecía la cosa no los declaró y del vendedor que, debiendo conocerlos, los ignoraba y, por supuesto, no los declaró. Tratándose del primer supuesto, a responsabilidad del vendedor se origina por no informar al comprador la existencia del defecto, lo que se sanciona, en definitiva, es la ilicitud de la reticencia del vendedor. En otras palabras, lo que hace el artículo 1861 CC. es establecer un deber precontractual de información, si el vendedor lo incumple con la finalidad de engañar al comprador, entonces actúa dolosamente. En lo que se refiere al segundo supuesto, el vendedor es sancionado porque su ignorancia resulta inaceptable, en este caso el deber precontractual de información es infringido culposamente.</w:t>
      </w:r>
    </w:p>
    <w:p w:rsidR="00000000" w:rsidDel="00000000" w:rsidP="00000000" w:rsidRDefault="00000000" w:rsidRPr="00000000" w14:paraId="00000031">
      <w:pPr>
        <w:tabs>
          <w:tab w:val="left" w:leader="none" w:pos="3960"/>
        </w:tabs>
        <w:spacing w:line="360" w:lineRule="auto"/>
        <w:rPr/>
      </w:pPr>
      <w:r w:rsidDel="00000000" w:rsidR="00000000" w:rsidRPr="00000000">
        <w:rPr>
          <w:rtl w:val="0"/>
        </w:rPr>
      </w:r>
    </w:p>
    <w:p w:rsidR="00000000" w:rsidDel="00000000" w:rsidP="00000000" w:rsidRDefault="00000000" w:rsidRPr="00000000" w14:paraId="00000032">
      <w:pPr>
        <w:tabs>
          <w:tab w:val="left" w:leader="none" w:pos="3960"/>
        </w:tabs>
        <w:spacing w:line="360" w:lineRule="auto"/>
        <w:rPr/>
      </w:pPr>
      <w:r w:rsidDel="00000000" w:rsidR="00000000" w:rsidRPr="00000000">
        <w:rPr>
          <w:rtl w:val="0"/>
        </w:rPr>
        <w:t xml:space="preserve">Una segunda norma jurídica a la cual resultará útil prestar atención es el artículo 32 de la Ley N° 19.496 sobre protección de los derechos de los consumidores, cuyo tenor es el siguiente:</w:t>
      </w:r>
    </w:p>
    <w:p w:rsidR="00000000" w:rsidDel="00000000" w:rsidP="00000000" w:rsidRDefault="00000000" w:rsidRPr="00000000" w14:paraId="00000033">
      <w:pPr>
        <w:tabs>
          <w:tab w:val="left" w:leader="none" w:pos="3960"/>
        </w:tabs>
        <w:spacing w:line="360" w:lineRule="auto"/>
        <w:rPr/>
      </w:pPr>
      <w:r w:rsidDel="00000000" w:rsidR="00000000" w:rsidRPr="00000000">
        <w:rPr>
          <w:rtl w:val="0"/>
        </w:rPr>
        <w:t xml:space="preserve">La información básica comercial de los servicios y de los productos de fabricación nacional o de procedencia extranjera, así como su identificación, instructivos de uso y garantías, y la difusión que de ellos se haga, deberán efectuarse en idioma castellano, en términos comprensibles y legibles en moneda de curso legal, y conforme al sistema general de pesos y medidas aplicables en el país, sin perjuicio de que el proveedor o anunciante pueda incluir, adicionalmente, esos mismos datos en otro idioma, unidad monetaria o de medida.</w:t>
      </w:r>
    </w:p>
    <w:p w:rsidR="00000000" w:rsidDel="00000000" w:rsidP="00000000" w:rsidRDefault="00000000" w:rsidRPr="00000000" w14:paraId="00000034">
      <w:pPr>
        <w:tabs>
          <w:tab w:val="left" w:leader="none" w:pos="3960"/>
        </w:tabs>
        <w:spacing w:line="360" w:lineRule="auto"/>
        <w:rPr/>
      </w:pPr>
      <w:r w:rsidDel="00000000" w:rsidR="00000000" w:rsidRPr="00000000">
        <w:rPr>
          <w:rtl w:val="0"/>
        </w:rPr>
      </w:r>
    </w:p>
    <w:p w:rsidR="00000000" w:rsidDel="00000000" w:rsidP="00000000" w:rsidRDefault="00000000" w:rsidRPr="00000000" w14:paraId="00000035">
      <w:pPr>
        <w:tabs>
          <w:tab w:val="left" w:leader="none" w:pos="3960"/>
        </w:tabs>
        <w:spacing w:line="360" w:lineRule="auto"/>
        <w:rPr/>
      </w:pPr>
      <w:r w:rsidDel="00000000" w:rsidR="00000000" w:rsidRPr="00000000">
        <w:rPr>
          <w:rtl w:val="0"/>
        </w:rPr>
        <w:t xml:space="preserve">Tratándose de contratos ofrecidos por medios electrónicos o de aquellos en que se aceptare una oferta realizada a través de catálogos, avisos o cualquier otra forma de comunicación a distancia, el proveedor deberá informar, de manera inequívoca y fácilmente accesible, los pasos que deben seguirse para celebrarlos, e informará, cuando corresponda, si el documento electrónico en que se formalice el contrato será archivado y si éste será accesible al consumidor. Indicará, además, su dirección de correo postal o electrónico y los medios técnicos que pone a disposición del consumidor para identificar y corregir errores en el envío o en sus datos.</w:t>
      </w:r>
    </w:p>
    <w:p w:rsidR="00000000" w:rsidDel="00000000" w:rsidP="00000000" w:rsidRDefault="00000000" w:rsidRPr="00000000" w14:paraId="00000036">
      <w:pPr>
        <w:tabs>
          <w:tab w:val="left" w:leader="none" w:pos="3960"/>
        </w:tabs>
        <w:spacing w:line="360" w:lineRule="auto"/>
        <w:rPr/>
      </w:pPr>
      <w:r w:rsidDel="00000000" w:rsidR="00000000" w:rsidRPr="00000000">
        <w:rPr>
          <w:rtl w:val="0"/>
        </w:rPr>
      </w:r>
    </w:p>
    <w:p w:rsidR="00000000" w:rsidDel="00000000" w:rsidP="00000000" w:rsidRDefault="00000000" w:rsidRPr="00000000" w14:paraId="00000037">
      <w:pPr>
        <w:tabs>
          <w:tab w:val="left" w:leader="none" w:pos="3960"/>
        </w:tabs>
        <w:spacing w:line="360" w:lineRule="auto"/>
        <w:rPr/>
      </w:pPr>
      <w:r w:rsidDel="00000000" w:rsidR="00000000" w:rsidRPr="00000000">
        <w:rPr>
          <w:rtl w:val="0"/>
        </w:rPr>
        <w:t xml:space="preserve">Lo que establece la norma es, con toda claridad, deberes precontractuales de información a cargo del proveedor y lo hace de una manera menos oblicua y más detallada que el artículo 1861 CC., identificando qué información se debe suministrar y —una novedad respecto del Código Civil— de qué forma se debe proporcionar —inequívocamente y fácilmente accesible para el consumidor.</w:t>
      </w:r>
    </w:p>
    <w:p w:rsidR="00000000" w:rsidDel="00000000" w:rsidP="00000000" w:rsidRDefault="00000000" w:rsidRPr="00000000" w14:paraId="00000038">
      <w:pPr>
        <w:tabs>
          <w:tab w:val="left" w:leader="none" w:pos="3960"/>
        </w:tabs>
        <w:spacing w:line="360" w:lineRule="auto"/>
        <w:rPr/>
      </w:pPr>
      <w:r w:rsidDel="00000000" w:rsidR="00000000" w:rsidRPr="00000000">
        <w:rPr>
          <w:rtl w:val="0"/>
        </w:rPr>
      </w:r>
    </w:p>
    <w:p w:rsidR="00000000" w:rsidDel="00000000" w:rsidP="00000000" w:rsidRDefault="00000000" w:rsidRPr="00000000" w14:paraId="00000039">
      <w:pPr>
        <w:tabs>
          <w:tab w:val="left" w:leader="none" w:pos="3960"/>
        </w:tabs>
        <w:spacing w:line="360" w:lineRule="auto"/>
        <w:rPr/>
      </w:pPr>
      <w:r w:rsidDel="00000000" w:rsidR="00000000" w:rsidRPr="00000000">
        <w:rPr>
          <w:rtl w:val="0"/>
        </w:rPr>
        <w:t xml:space="preserve">3. Deberes precontractuales de información típicos y atípicos.</w:t>
      </w:r>
    </w:p>
    <w:p w:rsidR="00000000" w:rsidDel="00000000" w:rsidP="00000000" w:rsidRDefault="00000000" w:rsidRPr="00000000" w14:paraId="0000003A">
      <w:pPr>
        <w:tabs>
          <w:tab w:val="left" w:leader="none" w:pos="3960"/>
        </w:tabs>
        <w:spacing w:line="360" w:lineRule="auto"/>
        <w:rPr/>
      </w:pPr>
      <w:r w:rsidDel="00000000" w:rsidR="00000000" w:rsidRPr="00000000">
        <w:rPr>
          <w:rtl w:val="0"/>
        </w:rPr>
        <w:t xml:space="preserve">Expuestas la sentencia de la Corte Suprema y las normas jurídicas en cuestión resulta posible examinar de qué forma se concretan en el ordenamiento jurídico los deberes precontractuales de información.</w:t>
      </w:r>
    </w:p>
    <w:p w:rsidR="00000000" w:rsidDel="00000000" w:rsidP="00000000" w:rsidRDefault="00000000" w:rsidRPr="00000000" w14:paraId="0000003B">
      <w:pPr>
        <w:tabs>
          <w:tab w:val="left" w:leader="none" w:pos="3960"/>
        </w:tabs>
        <w:spacing w:line="360" w:lineRule="auto"/>
        <w:rPr/>
      </w:pPr>
      <w:r w:rsidDel="00000000" w:rsidR="00000000" w:rsidRPr="00000000">
        <w:rPr>
          <w:rtl w:val="0"/>
        </w:rPr>
      </w:r>
    </w:p>
    <w:p w:rsidR="00000000" w:rsidDel="00000000" w:rsidP="00000000" w:rsidRDefault="00000000" w:rsidRPr="00000000" w14:paraId="0000003C">
      <w:pPr>
        <w:tabs>
          <w:tab w:val="left" w:leader="none" w:pos="3960"/>
        </w:tabs>
        <w:spacing w:line="360" w:lineRule="auto"/>
        <w:rPr/>
      </w:pPr>
      <w:r w:rsidDel="00000000" w:rsidR="00000000" w:rsidRPr="00000000">
        <w:rPr>
          <w:rtl w:val="0"/>
        </w:rPr>
        <w:t xml:space="preserve">Si se presta atención a “Glide Diversiones Limitada con Compañía de Inversiones y Desarrollo Sur S. A.”, se advertirá que ni la sentencia de la de la Corte de Apelaciones ni la de la Corte Suprema se refieren a una norma que, de forma expresa —a la manera del artículo 1861 CC. o del artículo 32 de la Ley N° 19.496—, establezcan deberes precontractuales de información. Lo que afirmó la Corte de Apelaciones —y confirmó la Suprema— es que existe una “obligación de informar que surge como una exigencia impuesta por el principio de buena fe que debe estar presente en todo contrato”; y, luego, como se recuerda, añade que: “La expectativa es que en esta etapa [la precontractual], los contratantes se den toda la información necesaria para definir los términos del contrato y que esté orientada a ilustrar de la mejor forma a la otra parte, en una actitud de corrección y lealtad’.</w:t>
      </w:r>
    </w:p>
    <w:p w:rsidR="00000000" w:rsidDel="00000000" w:rsidP="00000000" w:rsidRDefault="00000000" w:rsidRPr="00000000" w14:paraId="0000003D">
      <w:pPr>
        <w:tabs>
          <w:tab w:val="left" w:leader="none" w:pos="3960"/>
        </w:tabs>
        <w:spacing w:line="360" w:lineRule="auto"/>
        <w:rPr/>
      </w:pPr>
      <w:r w:rsidDel="00000000" w:rsidR="00000000" w:rsidRPr="00000000">
        <w:rPr>
          <w:rtl w:val="0"/>
        </w:rPr>
      </w:r>
    </w:p>
    <w:p w:rsidR="00000000" w:rsidDel="00000000" w:rsidP="00000000" w:rsidRDefault="00000000" w:rsidRPr="00000000" w14:paraId="0000003E">
      <w:pPr>
        <w:tabs>
          <w:tab w:val="left" w:leader="none" w:pos="3960"/>
        </w:tabs>
        <w:spacing w:line="360" w:lineRule="auto"/>
        <w:rPr/>
      </w:pPr>
      <w:r w:rsidDel="00000000" w:rsidR="00000000" w:rsidRPr="00000000">
        <w:rPr>
          <w:rtl w:val="0"/>
        </w:rPr>
        <w:t xml:space="preserve"> La Corte, entonces, se refiere a dos cuestiones. La primera de ellas es la fuente del deber precontractual de informar. Dicha fuente no es una norma jurídica, sino un principio general del derecho: la buena fe. La segunda cuestión que parece precisar la Corte es la extensión del deber precontractual de informar, dicha extensión, en palabras del tribunal abarca “toda la información necesaria para definir los términos del contrato y que esté orientada a ilustrar de la mejor forma a la otra parte, en una actitud de corrección y lealtad’. En términos de concreción de los deberes precontractuales de información interesa, inmediatamente, la primera cuestión. Del razonamiento del tribunal en el caso expuesto aparece con toda claridad que, aún a falta de norma expresa, es posible derivar, directamente, del principio general de la buena fe deberes de conducta para las partes. </w:t>
      </w:r>
    </w:p>
    <w:p w:rsidR="00000000" w:rsidDel="00000000" w:rsidP="00000000" w:rsidRDefault="00000000" w:rsidRPr="00000000" w14:paraId="0000003F">
      <w:pPr>
        <w:tabs>
          <w:tab w:val="left" w:leader="none" w:pos="3960"/>
        </w:tabs>
        <w:spacing w:line="360" w:lineRule="auto"/>
        <w:rPr/>
      </w:pPr>
      <w:r w:rsidDel="00000000" w:rsidR="00000000" w:rsidRPr="00000000">
        <w:rPr>
          <w:rtl w:val="0"/>
        </w:rPr>
      </w:r>
    </w:p>
    <w:p w:rsidR="00000000" w:rsidDel="00000000" w:rsidP="00000000" w:rsidRDefault="00000000" w:rsidRPr="00000000" w14:paraId="00000040">
      <w:pPr>
        <w:tabs>
          <w:tab w:val="left" w:leader="none" w:pos="3960"/>
        </w:tabs>
        <w:spacing w:line="360" w:lineRule="auto"/>
        <w:rPr/>
      </w:pPr>
      <w:r w:rsidDel="00000000" w:rsidR="00000000" w:rsidRPr="00000000">
        <w:rPr>
          <w:rtl w:val="0"/>
        </w:rPr>
        <w:t xml:space="preserve">Ahora bien, si se observan las normas jurídicas a que se ha aludido más arriba —el artículo 1851 CC y el artículo 32 de la Ley N° 19.496— se advierte una segunda forma de concretar deberes precontractuales de información. Esta vez no es el juez quien debe escudriñar las exigencias de la buena fe para determinar si se debía informar o no, la cuestión ha sido resuelta por el legislador, quien ha establecido en forma expresa a través de una norma jurídica “en sentido técnico”23 un deber precontractual de información.</w:t>
      </w:r>
    </w:p>
    <w:p w:rsidR="00000000" w:rsidDel="00000000" w:rsidP="00000000" w:rsidRDefault="00000000" w:rsidRPr="00000000" w14:paraId="00000041">
      <w:pPr>
        <w:tabs>
          <w:tab w:val="left" w:leader="none" w:pos="3960"/>
        </w:tabs>
        <w:spacing w:line="360" w:lineRule="auto"/>
        <w:rPr/>
      </w:pPr>
      <w:r w:rsidDel="00000000" w:rsidR="00000000" w:rsidRPr="00000000">
        <w:rPr>
          <w:rtl w:val="0"/>
        </w:rPr>
      </w:r>
    </w:p>
    <w:p w:rsidR="00000000" w:rsidDel="00000000" w:rsidP="00000000" w:rsidRDefault="00000000" w:rsidRPr="00000000" w14:paraId="00000042">
      <w:pPr>
        <w:tabs>
          <w:tab w:val="left" w:leader="none" w:pos="3960"/>
        </w:tabs>
        <w:spacing w:line="360" w:lineRule="auto"/>
        <w:rPr/>
      </w:pPr>
      <w:r w:rsidDel="00000000" w:rsidR="00000000" w:rsidRPr="00000000">
        <w:rPr>
          <w:rtl w:val="0"/>
        </w:rPr>
        <w:t xml:space="preserve">En síntesis, una mirada a diversos supuestos de deberes precontractuales de información en el ordenamiento jurídico chileno muestra que estos se concretan de dos formas diversas. En ocasiones, es el legislador quien, a través de una norma jurídica, impone expresamente dichos deberes. En otras ocasiones son los jueces quienes, echando mano al principio general de la buena fe, y a falta de norma expresa, extraen directamente de éste dichos deberes.</w:t>
      </w:r>
    </w:p>
    <w:p w:rsidR="00000000" w:rsidDel="00000000" w:rsidP="00000000" w:rsidRDefault="00000000" w:rsidRPr="00000000" w14:paraId="00000043">
      <w:pPr>
        <w:tabs>
          <w:tab w:val="left" w:leader="none" w:pos="3960"/>
        </w:tabs>
        <w:spacing w:line="360" w:lineRule="auto"/>
        <w:rPr/>
      </w:pPr>
      <w:r w:rsidDel="00000000" w:rsidR="00000000" w:rsidRPr="00000000">
        <w:rPr>
          <w:rtl w:val="0"/>
        </w:rPr>
      </w:r>
    </w:p>
    <w:p w:rsidR="00000000" w:rsidDel="00000000" w:rsidP="00000000" w:rsidRDefault="00000000" w:rsidRPr="00000000" w14:paraId="00000044">
      <w:pPr>
        <w:tabs>
          <w:tab w:val="left" w:leader="none" w:pos="3960"/>
        </w:tabs>
        <w:spacing w:line="360" w:lineRule="auto"/>
        <w:rPr/>
      </w:pPr>
      <w:r w:rsidDel="00000000" w:rsidR="00000000" w:rsidRPr="00000000">
        <w:rPr>
          <w:rtl w:val="0"/>
        </w:rPr>
        <w:t xml:space="preserve">Si se acepta, como es frecuente, que el fundamento último de los deberes precontractuales de información siempre es la buena fe en cuanto principio general del derecho, puede afirmarse que, en ciertos supuestos el legislador ha tipificado las exigencias de la buena fe (es decir, ha establecido deberes precontractuales de información típicos) y, en otros supuestos ha dejado al juez la labor de precisar las exigencias de la buena fe durante la negociación de un contrato (es decir, ha establecido la posibilidad de que el juez establezca deberes de información atípicos).</w:t>
      </w:r>
    </w:p>
    <w:p w:rsidR="00000000" w:rsidDel="00000000" w:rsidP="00000000" w:rsidRDefault="00000000" w:rsidRPr="00000000" w14:paraId="00000045">
      <w:pPr>
        <w:tabs>
          <w:tab w:val="left" w:leader="none" w:pos="3960"/>
        </w:tabs>
        <w:spacing w:line="360" w:lineRule="auto"/>
        <w:rPr/>
      </w:pPr>
      <w:r w:rsidDel="00000000" w:rsidR="00000000" w:rsidRPr="00000000">
        <w:rPr>
          <w:rtl w:val="0"/>
        </w:rPr>
      </w:r>
    </w:p>
    <w:p w:rsidR="00000000" w:rsidDel="00000000" w:rsidP="00000000" w:rsidRDefault="00000000" w:rsidRPr="00000000" w14:paraId="00000046">
      <w:pPr>
        <w:pStyle w:val="Heading1"/>
        <w:tabs>
          <w:tab w:val="left" w:leader="none" w:pos="3960"/>
        </w:tabs>
        <w:spacing w:line="360" w:lineRule="auto"/>
        <w:rPr/>
      </w:pPr>
      <w:bookmarkStart w:colFirst="0" w:colLast="0" w:name="_heading=h.z394emyji1td" w:id="8"/>
      <w:bookmarkEnd w:id="8"/>
      <w:r w:rsidDel="00000000" w:rsidR="00000000" w:rsidRPr="00000000">
        <w:rPr>
          <w:rtl w:val="0"/>
        </w:rPr>
        <w:t xml:space="preserve">III. La utilidad de la distinción de deberes precontractuales</w:t>
      </w:r>
    </w:p>
    <w:p w:rsidR="00000000" w:rsidDel="00000000" w:rsidP="00000000" w:rsidRDefault="00000000" w:rsidRPr="00000000" w14:paraId="00000047">
      <w:pPr>
        <w:pStyle w:val="Heading1"/>
        <w:tabs>
          <w:tab w:val="left" w:leader="none" w:pos="3960"/>
        </w:tabs>
        <w:spacing w:line="360" w:lineRule="auto"/>
        <w:rPr/>
      </w:pPr>
      <w:bookmarkStart w:colFirst="0" w:colLast="0" w:name="_heading=h.3nws5sdwoh45" w:id="9"/>
      <w:bookmarkEnd w:id="9"/>
      <w:r w:rsidDel="00000000" w:rsidR="00000000" w:rsidRPr="00000000">
        <w:rPr>
          <w:rtl w:val="0"/>
        </w:rPr>
        <w:t xml:space="preserve">DE INFORMACIÓN TÍPICOS Y ATÍPICOS</w:t>
      </w:r>
    </w:p>
    <w:p w:rsidR="00000000" w:rsidDel="00000000" w:rsidP="00000000" w:rsidRDefault="00000000" w:rsidRPr="00000000" w14:paraId="00000048">
      <w:pPr>
        <w:tabs>
          <w:tab w:val="left" w:leader="none" w:pos="3960"/>
        </w:tabs>
        <w:spacing w:line="360" w:lineRule="auto"/>
        <w:rPr/>
      </w:pPr>
      <w:r w:rsidDel="00000000" w:rsidR="00000000" w:rsidRPr="00000000">
        <w:rPr>
          <w:rtl w:val="0"/>
        </w:rPr>
        <w:t xml:space="preserve">La distinción entre deberes precontractuales de información típicos y atípicos resulta útil, pero no constituye una summa división. Comenzaré mostrando esto último y luego me detendré sobre la utilidad.</w:t>
      </w:r>
    </w:p>
    <w:p w:rsidR="00000000" w:rsidDel="00000000" w:rsidP="00000000" w:rsidRDefault="00000000" w:rsidRPr="00000000" w14:paraId="00000049">
      <w:pPr>
        <w:tabs>
          <w:tab w:val="left" w:leader="none" w:pos="3960"/>
        </w:tabs>
        <w:spacing w:line="360" w:lineRule="auto"/>
        <w:rPr/>
      </w:pPr>
      <w:r w:rsidDel="00000000" w:rsidR="00000000" w:rsidRPr="00000000">
        <w:rPr>
          <w:rtl w:val="0"/>
        </w:rPr>
      </w:r>
    </w:p>
    <w:p w:rsidR="00000000" w:rsidDel="00000000" w:rsidP="00000000" w:rsidRDefault="00000000" w:rsidRPr="00000000" w14:paraId="0000004A">
      <w:pPr>
        <w:pStyle w:val="Heading1"/>
        <w:tabs>
          <w:tab w:val="left" w:leader="none" w:pos="3960"/>
        </w:tabs>
        <w:spacing w:line="360" w:lineRule="auto"/>
        <w:rPr/>
      </w:pPr>
      <w:bookmarkStart w:colFirst="0" w:colLast="0" w:name="_heading=h.w9u7jjnuud8t" w:id="10"/>
      <w:bookmarkEnd w:id="10"/>
      <w:r w:rsidDel="00000000" w:rsidR="00000000" w:rsidRPr="00000000">
        <w:rPr>
          <w:rtl w:val="0"/>
        </w:rPr>
        <w:t xml:space="preserve">1. Los intersticios de los deberes típicos.</w:t>
      </w:r>
    </w:p>
    <w:p w:rsidR="00000000" w:rsidDel="00000000" w:rsidP="00000000" w:rsidRDefault="00000000" w:rsidRPr="00000000" w14:paraId="0000004B">
      <w:pPr>
        <w:tabs>
          <w:tab w:val="left" w:leader="none" w:pos="3960"/>
        </w:tabs>
        <w:spacing w:line="360" w:lineRule="auto"/>
        <w:rPr/>
      </w:pPr>
      <w:r w:rsidDel="00000000" w:rsidR="00000000" w:rsidRPr="00000000">
        <w:rPr>
          <w:rtl w:val="0"/>
        </w:rPr>
        <w:t xml:space="preserve">Un ejemplo contribuirá a mostrar por qué no conviene considerar la distinción como una summa divisio. Se trata de la regulación del contrato de viaje combinado contenida en el texto refundido de la Ley general de consumidores y usuarios española. El artículo 152 de dicha ley contiene un extenso catálogo de la información que debe suministrar el organizador o detallista al consumidor. No obstante la extensión de los listados de información requerida, lo cierto es que el legislador nunca logra encapsular en ellos toda la información relevante sobre el contrato o los bienes y servicios que un consumidor puede necesitar para tomar su decisión de contratar. En este sentido, la tipificación del deber precontractual de información es, inevitablemente, incompleta. Un buen ejemplo de esto se encuentra en la letra k) del citado artículo 152 del texto refundido. Pese a que el listado de información que debe suministrar el organizador o detallista es extremadamente detallado, dicha letra dispone que, además, debe suministrarse “[t] oda información adicional y adecuada sobre las características del viaje”.</w:t>
      </w:r>
    </w:p>
    <w:p w:rsidR="00000000" w:rsidDel="00000000" w:rsidP="00000000" w:rsidRDefault="00000000" w:rsidRPr="00000000" w14:paraId="0000004C">
      <w:pPr>
        <w:tabs>
          <w:tab w:val="left" w:leader="none" w:pos="3960"/>
        </w:tabs>
        <w:spacing w:line="360" w:lineRule="auto"/>
        <w:rPr/>
      </w:pPr>
      <w:r w:rsidDel="00000000" w:rsidR="00000000" w:rsidRPr="00000000">
        <w:rPr>
          <w:rtl w:val="0"/>
        </w:rPr>
      </w:r>
    </w:p>
    <w:p w:rsidR="00000000" w:rsidDel="00000000" w:rsidP="00000000" w:rsidRDefault="00000000" w:rsidRPr="00000000" w14:paraId="0000004D">
      <w:pPr>
        <w:tabs>
          <w:tab w:val="left" w:leader="none" w:pos="3960"/>
        </w:tabs>
        <w:spacing w:line="360" w:lineRule="auto"/>
        <w:rPr/>
      </w:pPr>
      <w:r w:rsidDel="00000000" w:rsidR="00000000" w:rsidRPr="00000000">
        <w:rPr>
          <w:rtl w:val="0"/>
        </w:rPr>
        <w:t xml:space="preserve">Cuál es, exactamente, esa información, es una pregunta a la que el legislador no ha respondido, ni puede responder en forma detallada. El camino para llenar estos intersticios es dotando de contenido a las exigencias de la buena fe. De manera que la regulación de los deberes típicos siempre deja intersticios que deben ser colmados por el juez imponiendo deberes precontractuales de información atípicos en el sentido que ha quedado formulada esa distinción, o no imponiéndolos.</w:t>
      </w:r>
    </w:p>
    <w:p w:rsidR="00000000" w:rsidDel="00000000" w:rsidP="00000000" w:rsidRDefault="00000000" w:rsidRPr="00000000" w14:paraId="0000004E">
      <w:pPr>
        <w:tabs>
          <w:tab w:val="left" w:leader="none" w:pos="3960"/>
        </w:tabs>
        <w:spacing w:line="360" w:lineRule="auto"/>
        <w:rPr/>
      </w:pPr>
      <w:r w:rsidDel="00000000" w:rsidR="00000000" w:rsidRPr="00000000">
        <w:rPr>
          <w:rtl w:val="0"/>
        </w:rPr>
      </w:r>
    </w:p>
    <w:p w:rsidR="00000000" w:rsidDel="00000000" w:rsidP="00000000" w:rsidRDefault="00000000" w:rsidRPr="00000000" w14:paraId="0000004F">
      <w:pPr>
        <w:tabs>
          <w:tab w:val="left" w:leader="none" w:pos="3960"/>
        </w:tabs>
        <w:spacing w:line="360" w:lineRule="auto"/>
        <w:rPr/>
      </w:pPr>
      <w:r w:rsidDel="00000000" w:rsidR="00000000" w:rsidRPr="00000000">
        <w:rPr>
          <w:rtl w:val="0"/>
        </w:rPr>
        <w:t xml:space="preserve">2. La utilidad.</w:t>
      </w:r>
    </w:p>
    <w:p w:rsidR="00000000" w:rsidDel="00000000" w:rsidP="00000000" w:rsidRDefault="00000000" w:rsidRPr="00000000" w14:paraId="00000050">
      <w:pPr>
        <w:tabs>
          <w:tab w:val="left" w:leader="none" w:pos="3960"/>
        </w:tabs>
        <w:spacing w:line="360" w:lineRule="auto"/>
        <w:rPr/>
      </w:pPr>
      <w:r w:rsidDel="00000000" w:rsidR="00000000" w:rsidRPr="00000000">
        <w:rPr>
          <w:rtl w:val="0"/>
        </w:rPr>
        <w:t xml:space="preserve">No obstante sus limitaciones, la distinción entre deberes precontractuales de información típicos y atípicos puede prestar utilidad. Ha quedado dicho ya que el campo de estudio de los deberes precontractuales de información es confuso, mi sugerencia es que la distinción entre deberes típicos y atípicos puede contribuir a aligerar esa confusión en dos sentidos. El primero de ellos consiste en eliminar algunos equívocos que enturbian la comprensión del tema y el segundo, en formular algún criterio que permita responder a si debe o no suministrarse información cuando el legislador no lo ha hecho.</w:t>
      </w:r>
    </w:p>
    <w:p w:rsidR="00000000" w:rsidDel="00000000" w:rsidP="00000000" w:rsidRDefault="00000000" w:rsidRPr="00000000" w14:paraId="00000051">
      <w:pPr>
        <w:tabs>
          <w:tab w:val="left" w:leader="none" w:pos="3960"/>
        </w:tabs>
        <w:spacing w:line="360" w:lineRule="auto"/>
        <w:rPr/>
      </w:pPr>
      <w:r w:rsidDel="00000000" w:rsidR="00000000" w:rsidRPr="00000000">
        <w:rPr>
          <w:rtl w:val="0"/>
        </w:rPr>
      </w:r>
    </w:p>
    <w:p w:rsidR="00000000" w:rsidDel="00000000" w:rsidP="00000000" w:rsidRDefault="00000000" w:rsidRPr="00000000" w14:paraId="00000052">
      <w:pPr>
        <w:tabs>
          <w:tab w:val="left" w:leader="none" w:pos="3960"/>
        </w:tabs>
        <w:spacing w:line="360" w:lineRule="auto"/>
        <w:rPr/>
      </w:pPr>
      <w:r w:rsidDel="00000000" w:rsidR="00000000" w:rsidRPr="00000000">
        <w:rPr>
          <w:rtl w:val="0"/>
        </w:rPr>
        <w:t xml:space="preserve">En lo que se refiere a los equívocos, es un lugar común la afirmación según la cual una diferencia entre los países de la tradición continental y los de la órbita del “Common law” se presenta respecto de los deberes precontractuales de información, en términos de que los primeros se caracterizan por una cierta tendencia al establecimiento de deberes precontractuales de informar; en cambio, los segundos —aquellos pertenecientes al “Common law”— se caracterizan por su reluctancia frente a la imposición de dichos deberes.</w:t>
      </w:r>
    </w:p>
    <w:p w:rsidR="00000000" w:rsidDel="00000000" w:rsidP="00000000" w:rsidRDefault="00000000" w:rsidRPr="00000000" w14:paraId="00000053">
      <w:pPr>
        <w:tabs>
          <w:tab w:val="left" w:leader="none" w:pos="3960"/>
        </w:tabs>
        <w:spacing w:line="360" w:lineRule="auto"/>
        <w:rPr/>
      </w:pPr>
      <w:r w:rsidDel="00000000" w:rsidR="00000000" w:rsidRPr="00000000">
        <w:rPr>
          <w:rtl w:val="0"/>
        </w:rPr>
      </w:r>
    </w:p>
    <w:p w:rsidR="00000000" w:rsidDel="00000000" w:rsidP="00000000" w:rsidRDefault="00000000" w:rsidRPr="00000000" w14:paraId="00000054">
      <w:pPr>
        <w:tabs>
          <w:tab w:val="left" w:leader="none" w:pos="3960"/>
        </w:tabs>
        <w:spacing w:line="360" w:lineRule="auto"/>
        <w:rPr/>
      </w:pPr>
      <w:r w:rsidDel="00000000" w:rsidR="00000000" w:rsidRPr="00000000">
        <w:rPr>
          <w:rtl w:val="0"/>
        </w:rPr>
        <w:t xml:space="preserve">Esta afirmación puede o no ser correcta según qué es lo que se designe con la expresión deber de informar. Si lo que se designa son tanto deberes típicos como atípicos, la afirmación es incorrecta; si, en cambio, la afirmación se circunscribe a deberes atípicos, es correcta.</w:t>
      </w:r>
    </w:p>
    <w:p w:rsidR="00000000" w:rsidDel="00000000" w:rsidP="00000000" w:rsidRDefault="00000000" w:rsidRPr="00000000" w14:paraId="00000055">
      <w:pPr>
        <w:tabs>
          <w:tab w:val="left" w:leader="none" w:pos="3960"/>
        </w:tabs>
        <w:spacing w:line="360" w:lineRule="auto"/>
        <w:rPr/>
      </w:pPr>
      <w:r w:rsidDel="00000000" w:rsidR="00000000" w:rsidRPr="00000000">
        <w:rPr>
          <w:rtl w:val="0"/>
        </w:rPr>
      </w:r>
    </w:p>
    <w:p w:rsidR="00000000" w:rsidDel="00000000" w:rsidP="00000000" w:rsidRDefault="00000000" w:rsidRPr="00000000" w14:paraId="00000056">
      <w:pPr>
        <w:tabs>
          <w:tab w:val="left" w:leader="none" w:pos="3960"/>
        </w:tabs>
        <w:spacing w:line="360" w:lineRule="auto"/>
        <w:rPr/>
      </w:pPr>
      <w:r w:rsidDel="00000000" w:rsidR="00000000" w:rsidRPr="00000000">
        <w:rPr>
          <w:rtl w:val="0"/>
        </w:rPr>
        <w:t xml:space="preserve">Para comprender lo anterior basta considerar el ámbito inglés —probablemente uno de los más restrictivos en lo que se refiere a imposición de deberes precontractuales de informar. Tanto la doctrina más autorizada como venerables precedentes sugieren esta aproximación restrictiva del derecho inglés. Así, por ejemplo, respecto de la doctrina, Atiyah ha señalado: “English law has traditionally taken the view that it is not the duty of the parties to a proposed contract to give information to each other”. En el mismo sentido, Treitel: “As a general rule, a person who is about to enter into a contract is under no duty to disclose material facts known to him but not the other party”. Y Cartwright: “English law does no impose on parties who are negotiating for a contract a general obligation to disclose information: that is to say, the starting point is that each negotiating party may remain silent, even as to facts which he believes would be operative on the mind of the other”.</w:t>
      </w:r>
    </w:p>
    <w:p w:rsidR="00000000" w:rsidDel="00000000" w:rsidP="00000000" w:rsidRDefault="00000000" w:rsidRPr="00000000" w14:paraId="00000057">
      <w:pPr>
        <w:tabs>
          <w:tab w:val="left" w:leader="none" w:pos="3960"/>
        </w:tabs>
        <w:spacing w:line="360" w:lineRule="auto"/>
        <w:rPr/>
      </w:pPr>
      <w:r w:rsidDel="00000000" w:rsidR="00000000" w:rsidRPr="00000000">
        <w:rPr>
          <w:rtl w:val="0"/>
        </w:rPr>
      </w:r>
    </w:p>
    <w:p w:rsidR="00000000" w:rsidDel="00000000" w:rsidP="00000000" w:rsidRDefault="00000000" w:rsidRPr="00000000" w14:paraId="00000058">
      <w:pPr>
        <w:tabs>
          <w:tab w:val="left" w:leader="none" w:pos="3960"/>
        </w:tabs>
        <w:spacing w:line="360" w:lineRule="auto"/>
        <w:rPr/>
      </w:pPr>
      <w:r w:rsidDel="00000000" w:rsidR="00000000" w:rsidRPr="00000000">
        <w:rPr>
          <w:rtl w:val="0"/>
        </w:rPr>
        <w:t xml:space="preserve">En lo que se refiere a los precedentes, el ejemplo emblemático aquí es “Smith v. Hughes”30, un caso de 1871 en el que un entrenador de caballos se negó a pagar por un cargamento de avena que había comprado, alegando que lo que se había convenido era forraje para alimentar caballos y lo que se le entregaba era avena recién cosechada, que no servía a tal fin. La opinión del juez Cockburn fue que un error unilateral del comprador, aun cuando fuera conocido por la otra parte, no afectaba a la validez del contrato. La justificación de esta opinión fue que en el Derecho inglés no existía un deber general de informar.</w:t>
      </w:r>
    </w:p>
    <w:p w:rsidR="00000000" w:rsidDel="00000000" w:rsidP="00000000" w:rsidRDefault="00000000" w:rsidRPr="00000000" w14:paraId="00000059">
      <w:pPr>
        <w:tabs>
          <w:tab w:val="left" w:leader="none" w:pos="3960"/>
        </w:tabs>
        <w:spacing w:line="360" w:lineRule="auto"/>
        <w:rPr/>
      </w:pPr>
      <w:r w:rsidDel="00000000" w:rsidR="00000000" w:rsidRPr="00000000">
        <w:rPr>
          <w:rtl w:val="0"/>
        </w:rPr>
      </w:r>
    </w:p>
    <w:p w:rsidR="00000000" w:rsidDel="00000000" w:rsidP="00000000" w:rsidRDefault="00000000" w:rsidRPr="00000000" w14:paraId="0000005A">
      <w:pPr>
        <w:tabs>
          <w:tab w:val="left" w:leader="none" w:pos="3960"/>
        </w:tabs>
        <w:spacing w:line="360" w:lineRule="auto"/>
        <w:rPr/>
      </w:pPr>
      <w:r w:rsidDel="00000000" w:rsidR="00000000" w:rsidRPr="00000000">
        <w:rPr>
          <w:rtl w:val="0"/>
        </w:rPr>
        <w:t xml:space="preserve">Un deber general de informar, he ahí la clave, en el derecho inglés no existe un deber general de informar, pero existen múltiples supuestos de deberes precontractuales de informar tipificados por leyes. Lo que, en cambio, resulta muy restringido es la discrecionalidad del juez para extraer deberes precontractuales de información de las exigencias de la buena fe y la razón es la renuencia del derecho inglés frente a imponer a las partes deberes de conducta derivados de la buena fe durante las negociaciones del contrato. La diferencia entre los países de tradición continental y los del “Common law” no es, entonces respecto de la presencia de “deberes precontractuales de información”, sino de “deberes precontractuales de información atípicos”.</w:t>
      </w:r>
    </w:p>
    <w:p w:rsidR="00000000" w:rsidDel="00000000" w:rsidP="00000000" w:rsidRDefault="00000000" w:rsidRPr="00000000" w14:paraId="0000005B">
      <w:pPr>
        <w:tabs>
          <w:tab w:val="left" w:leader="none" w:pos="3960"/>
        </w:tabs>
        <w:spacing w:line="360" w:lineRule="auto"/>
        <w:rPr/>
      </w:pPr>
      <w:r w:rsidDel="00000000" w:rsidR="00000000" w:rsidRPr="00000000">
        <w:rPr>
          <w:rtl w:val="0"/>
        </w:rPr>
      </w:r>
    </w:p>
    <w:p w:rsidR="00000000" w:rsidDel="00000000" w:rsidP="00000000" w:rsidRDefault="00000000" w:rsidRPr="00000000" w14:paraId="0000005C">
      <w:pPr>
        <w:tabs>
          <w:tab w:val="left" w:leader="none" w:pos="3960"/>
        </w:tabs>
        <w:spacing w:line="360" w:lineRule="auto"/>
        <w:rPr/>
      </w:pPr>
      <w:r w:rsidDel="00000000" w:rsidR="00000000" w:rsidRPr="00000000">
        <w:rPr>
          <w:rtl w:val="0"/>
        </w:rPr>
        <w:t xml:space="preserve">Una segunda razón por la cual la distinción entre deberes precontractuales de información típicos y atípicos presta utilidad es que puede contribuir a la formulación de criterios que perfilen el supuesto de hecho tratándose de deberes precontractuales de información atípicos.</w:t>
      </w:r>
    </w:p>
    <w:p w:rsidR="00000000" w:rsidDel="00000000" w:rsidP="00000000" w:rsidRDefault="00000000" w:rsidRPr="00000000" w14:paraId="0000005D">
      <w:pPr>
        <w:tabs>
          <w:tab w:val="left" w:leader="none" w:pos="3960"/>
        </w:tabs>
        <w:spacing w:line="360" w:lineRule="auto"/>
        <w:rPr/>
      </w:pPr>
      <w:r w:rsidDel="00000000" w:rsidR="00000000" w:rsidRPr="00000000">
        <w:rPr>
          <w:rtl w:val="0"/>
        </w:rPr>
      </w:r>
    </w:p>
    <w:p w:rsidR="00000000" w:rsidDel="00000000" w:rsidP="00000000" w:rsidRDefault="00000000" w:rsidRPr="00000000" w14:paraId="0000005E">
      <w:pPr>
        <w:tabs>
          <w:tab w:val="left" w:leader="none" w:pos="3960"/>
        </w:tabs>
        <w:spacing w:line="360" w:lineRule="auto"/>
        <w:rPr/>
      </w:pPr>
      <w:r w:rsidDel="00000000" w:rsidR="00000000" w:rsidRPr="00000000">
        <w:rPr>
          <w:rtl w:val="0"/>
        </w:rPr>
        <w:t xml:space="preserve">A este respecto, resulta interesante advertir que las preguntas que se formula el operador jurídico tratándose de deberes típicos y atípicos son diversas. Tratándose de los primeros la cuestión consiste en determinar si se cumplió o no el supuesto de hecho de la norma. Así, por ejemplo, en el supuesto del inciso segundo del artículo 32 de la Ley N° 19.496, lo que se debe indagar es si trata de una relación de consumo y si el contrato ha sido ofrecido por medios electrónicos o es de aquellos en que se acepta una oferta realizada a través de catálogos, avisos o cualquier otra forma de comunicación a distancia. Si la respuesta a estas preguntas es afirmativa, entonces surge un deber de información para el proveedor. Tratándose, en cambio, de deberes atípicos la pregunta es distinta. Ya no se trata de determinar si se cumplió o no el supuesto de hecho, sino, más bien, de determinar los criterios en torno a los cuales se construye el supuesto de hecho. De esta manera, en el ejemplo utilizado más arriba, el juez carece de una respuesta preconfigurada en el ordenamiento jurídico que le indique si la arrendadora debía o no informar a la arrendataria acerca de las limitaciones urbanísticas del terreno. Lo que existe es un principio general del derecho —la buena fe— a partir del cual el juez debe extraer criterios que justifiquen en casos como ese la imposición— o no de deberes precontractuales de informar.</w:t>
      </w:r>
    </w:p>
    <w:p w:rsidR="00000000" w:rsidDel="00000000" w:rsidP="00000000" w:rsidRDefault="00000000" w:rsidRPr="00000000" w14:paraId="0000005F">
      <w:pPr>
        <w:tabs>
          <w:tab w:val="left" w:leader="none" w:pos="3960"/>
        </w:tabs>
        <w:spacing w:line="360" w:lineRule="auto"/>
        <w:rPr/>
      </w:pPr>
      <w:r w:rsidDel="00000000" w:rsidR="00000000" w:rsidRPr="00000000">
        <w:rPr>
          <w:rtl w:val="0"/>
        </w:rPr>
      </w:r>
    </w:p>
    <w:p w:rsidR="00000000" w:rsidDel="00000000" w:rsidP="00000000" w:rsidRDefault="00000000" w:rsidRPr="00000000" w14:paraId="00000060">
      <w:pPr>
        <w:tabs>
          <w:tab w:val="left" w:leader="none" w:pos="3960"/>
        </w:tabs>
        <w:spacing w:line="360" w:lineRule="auto"/>
        <w:rPr/>
      </w:pPr>
      <w:r w:rsidDel="00000000" w:rsidR="00000000" w:rsidRPr="00000000">
        <w:rPr>
          <w:rtl w:val="0"/>
        </w:rPr>
        <w:t xml:space="preserve">La distinción entre deberes típicos y atípicos aporta, en mi opinión, algunas enseñanzas en la labor de concreción de las exigencias de la buena fe para el caso concreto.</w:t>
      </w:r>
    </w:p>
    <w:p w:rsidR="00000000" w:rsidDel="00000000" w:rsidP="00000000" w:rsidRDefault="00000000" w:rsidRPr="00000000" w14:paraId="00000061">
      <w:pPr>
        <w:tabs>
          <w:tab w:val="left" w:leader="none" w:pos="3960"/>
        </w:tabs>
        <w:spacing w:line="360" w:lineRule="auto"/>
        <w:rPr/>
      </w:pPr>
      <w:r w:rsidDel="00000000" w:rsidR="00000000" w:rsidRPr="00000000">
        <w:rPr>
          <w:rtl w:val="0"/>
        </w:rPr>
      </w:r>
    </w:p>
    <w:p w:rsidR="00000000" w:rsidDel="00000000" w:rsidP="00000000" w:rsidRDefault="00000000" w:rsidRPr="00000000" w14:paraId="00000062">
      <w:pPr>
        <w:tabs>
          <w:tab w:val="left" w:leader="none" w:pos="3960"/>
        </w:tabs>
        <w:spacing w:line="360" w:lineRule="auto"/>
        <w:rPr/>
      </w:pPr>
      <w:r w:rsidDel="00000000" w:rsidR="00000000" w:rsidRPr="00000000">
        <w:rPr>
          <w:rtl w:val="0"/>
        </w:rPr>
        <w:t xml:space="preserve">Al prestar atención a los deberes precontractuales de información típicos se advierte que, en general, su irrupción masiva en el derecho de contratos es relativamente reciente —no antes de la segunda mitad del siglo XX— y que, en general, su justificación es como una técnica de protección de las partes más débiles en ciertas relaciones contractuales, emblemáticamente, las relaciones de consumo. Atendida la presencia de asimetrías informativas característica de este tipo de relaciones existe una fuerte tendencia en el derecho comparado a imponer a los proveedores deberes precontractuales de información en beneficio de los consumidores, en términos tales que se ha considerado que los proveedores tienen un deber genérico de información a favor de los consumidores.  </w:t>
      </w:r>
    </w:p>
    <w:p w:rsidR="00000000" w:rsidDel="00000000" w:rsidP="00000000" w:rsidRDefault="00000000" w:rsidRPr="00000000" w14:paraId="00000063">
      <w:pPr>
        <w:tabs>
          <w:tab w:val="left" w:leader="none" w:pos="3960"/>
        </w:tabs>
        <w:spacing w:line="360" w:lineRule="auto"/>
        <w:rPr/>
      </w:pPr>
      <w:r w:rsidDel="00000000" w:rsidR="00000000" w:rsidRPr="00000000">
        <w:rPr>
          <w:rtl w:val="0"/>
        </w:rPr>
      </w:r>
    </w:p>
    <w:p w:rsidR="00000000" w:rsidDel="00000000" w:rsidP="00000000" w:rsidRDefault="00000000" w:rsidRPr="00000000" w14:paraId="00000064">
      <w:pPr>
        <w:tabs>
          <w:tab w:val="left" w:leader="none" w:pos="3960"/>
        </w:tabs>
        <w:spacing w:line="360" w:lineRule="auto"/>
        <w:rPr/>
      </w:pPr>
      <w:r w:rsidDel="00000000" w:rsidR="00000000" w:rsidRPr="00000000">
        <w:rPr>
          <w:rtl w:val="0"/>
        </w:rPr>
        <w:t xml:space="preserve">En el derecho común —que es la principal sede en que se presenta la cuestión de los deberes atípicos— la cuestión es distinta, la regulación del contrato reposa sobre las asunciones de igualdad y libertad de las partes. De ahí que en aquellas sedes en las que existen buenas razones para pensar que se presentan diferencias estructurales entre las partes —por ejemplo, relaciones de consumo o entre profesionales liberales y legos— lo que suele hacerse es dictar legislación especial.</w:t>
      </w:r>
    </w:p>
    <w:p w:rsidR="00000000" w:rsidDel="00000000" w:rsidP="00000000" w:rsidRDefault="00000000" w:rsidRPr="00000000" w14:paraId="00000065">
      <w:pPr>
        <w:tabs>
          <w:tab w:val="left" w:leader="none" w:pos="3960"/>
        </w:tabs>
        <w:spacing w:line="360" w:lineRule="auto"/>
        <w:rPr/>
      </w:pPr>
      <w:r w:rsidDel="00000000" w:rsidR="00000000" w:rsidRPr="00000000">
        <w:rPr>
          <w:rtl w:val="0"/>
        </w:rPr>
      </w:r>
    </w:p>
    <w:p w:rsidR="00000000" w:rsidDel="00000000" w:rsidP="00000000" w:rsidRDefault="00000000" w:rsidRPr="00000000" w14:paraId="00000066">
      <w:pPr>
        <w:tabs>
          <w:tab w:val="left" w:leader="none" w:pos="3960"/>
        </w:tabs>
        <w:spacing w:line="360" w:lineRule="auto"/>
        <w:rPr/>
      </w:pPr>
      <w:r w:rsidDel="00000000" w:rsidR="00000000" w:rsidRPr="00000000">
        <w:rPr>
          <w:rtl w:val="0"/>
        </w:rPr>
        <w:t xml:space="preserve">Si lo que vengo diciendo es correcto, entonces es posible afirmar que, así como resultaba incorrecta la extrapolación de las asunciones de igualdad y libertad propias del derecho común a relaciones caracterizadas por la desigualdad de las partes, resulta igualmente incorrecta la extrapolación de la regulación de estas relaciones a aquellas relaciones disciplinadas por el derecho común. Dicho de forma más sencilla: resulta incorrecto extrapolar el establecimiento de un deber general de informar propio de la regulación de relaciones de consumo —u otras semejantes— a aquellas relaciones disciplinadas por el Código Civil.</w:t>
      </w:r>
    </w:p>
    <w:p w:rsidR="00000000" w:rsidDel="00000000" w:rsidP="00000000" w:rsidRDefault="00000000" w:rsidRPr="00000000" w14:paraId="00000067">
      <w:pPr>
        <w:tabs>
          <w:tab w:val="left" w:leader="none" w:pos="3960"/>
        </w:tabs>
        <w:spacing w:line="360" w:lineRule="auto"/>
        <w:rPr/>
      </w:pPr>
      <w:r w:rsidDel="00000000" w:rsidR="00000000" w:rsidRPr="00000000">
        <w:rPr>
          <w:rtl w:val="0"/>
        </w:rPr>
      </w:r>
    </w:p>
    <w:p w:rsidR="00000000" w:rsidDel="00000000" w:rsidP="00000000" w:rsidRDefault="00000000" w:rsidRPr="00000000" w14:paraId="00000068">
      <w:pPr>
        <w:tabs>
          <w:tab w:val="left" w:leader="none" w:pos="3960"/>
        </w:tabs>
        <w:spacing w:line="360" w:lineRule="auto"/>
        <w:rPr/>
      </w:pPr>
      <w:r w:rsidDel="00000000" w:rsidR="00000000" w:rsidRPr="00000000">
        <w:rPr>
          <w:rtl w:val="0"/>
        </w:rPr>
        <w:t xml:space="preserve">La segunda enseñanza se refiere a los criterios que pueden extraerse de las normas que imponen deberes precontractuales típicos. Como ya ha quedado dicho, lo que caracteriza las relaciones contractuales en que se introducen deberes típicos es una cierta desigualdad característica entre las partes, en términos tales que una dispone de un acceso privilegiado a la información respecto de la otra. En principio, entonces, es posible pensar que si en relaciones disciplinadas por el derecho civil se reproducen estas circunstancias existen buenas razones para que el juez derive de las exigencias de la buena fe deberes precontractuales de información. Así, por ejemplo, no existe, en principio, justificación para imponer un deber de informar si ambas partes pueden acceder a la información en condiciones semejantes; a la inversa —y siempre, en principio— existe justificación si el acceso es suficientemente asimétrico.</w:t>
      </w:r>
    </w:p>
    <w:p w:rsidR="00000000" w:rsidDel="00000000" w:rsidP="00000000" w:rsidRDefault="00000000" w:rsidRPr="00000000" w14:paraId="00000069">
      <w:pPr>
        <w:tabs>
          <w:tab w:val="left" w:leader="none" w:pos="3960"/>
        </w:tabs>
        <w:spacing w:line="360" w:lineRule="auto"/>
        <w:rPr/>
      </w:pPr>
      <w:r w:rsidDel="00000000" w:rsidR="00000000" w:rsidRPr="00000000">
        <w:rPr>
          <w:rtl w:val="0"/>
        </w:rPr>
      </w:r>
    </w:p>
    <w:p w:rsidR="00000000" w:rsidDel="00000000" w:rsidP="00000000" w:rsidRDefault="00000000" w:rsidRPr="00000000" w14:paraId="0000006A">
      <w:pPr>
        <w:tabs>
          <w:tab w:val="left" w:leader="none" w:pos="3960"/>
        </w:tabs>
        <w:spacing w:line="360" w:lineRule="auto"/>
        <w:rPr/>
      </w:pPr>
      <w:r w:rsidDel="00000000" w:rsidR="00000000" w:rsidRPr="00000000">
        <w:rPr>
          <w:rtl w:val="0"/>
        </w:rPr>
        <w:t xml:space="preserve">Existe, todavía, una tercera enseñanza que puede extraerse de la distinción entre deberes precontractuales típicos y atípicos. Parece aceptarse que en derecho privado la tendencia es que cada uno de los contratantes debe procurarse su propia información. En cambio, cuando el legislador ha considerado que las desigualdades entre los contratantes justifican la imposición de un deber precontractual de información típico, el principio es que el contratante en la posición más débil tiene derecho a que le suministren información42. De estas dos afirmaciones puede desprenderse la siguiente regla: en derecho privado se presume que la ignorancia no es legítima, quien la alegue debe probar su legitimidad. En cambio, cuando se trata de relaciones en las cuales se ha impuesto un deber de informar se presumirá que la ignorancia es legítima y la carga de acreditar la ilegitimidad recae sobre quien debía suministrar la información.</w:t>
      </w:r>
    </w:p>
    <w:p w:rsidR="00000000" w:rsidDel="00000000" w:rsidP="00000000" w:rsidRDefault="00000000" w:rsidRPr="00000000" w14:paraId="0000006B">
      <w:pPr>
        <w:tabs>
          <w:tab w:val="left" w:leader="none" w:pos="3960"/>
        </w:tabs>
        <w:spacing w:line="360" w:lineRule="auto"/>
        <w:rPr/>
      </w:pPr>
      <w:r w:rsidDel="00000000" w:rsidR="00000000" w:rsidRPr="00000000">
        <w:rPr>
          <w:rtl w:val="0"/>
        </w:rPr>
      </w:r>
    </w:p>
    <w:p w:rsidR="00000000" w:rsidDel="00000000" w:rsidP="00000000" w:rsidRDefault="00000000" w:rsidRPr="00000000" w14:paraId="0000006C">
      <w:pPr>
        <w:tabs>
          <w:tab w:val="left" w:leader="none" w:pos="3960"/>
        </w:tabs>
        <w:spacing w:line="360" w:lineRule="auto"/>
        <w:rPr/>
      </w:pPr>
      <w:bookmarkStart w:colFirst="0" w:colLast="0" w:name="_heading=h.gjdgxs" w:id="11"/>
      <w:bookmarkEnd w:id="11"/>
      <w:r w:rsidDel="00000000" w:rsidR="00000000" w:rsidRPr="00000000">
        <w:rPr>
          <w:rtl w:val="0"/>
        </w:rPr>
        <w:t xml:space="preserve">[Recibido el 25 de marzo y aceptado el 30 de abril de 2010]. </w:t>
      </w:r>
    </w:p>
    <w:p w:rsidR="00000000" w:rsidDel="00000000" w:rsidP="00000000" w:rsidRDefault="00000000" w:rsidRPr="00000000" w14:paraId="0000006D">
      <w:pPr>
        <w:tabs>
          <w:tab w:val="left" w:leader="none" w:pos="3960"/>
        </w:tabs>
        <w:spacing w:line="360" w:lineRule="auto"/>
        <w:rPr/>
      </w:pPr>
      <w:r w:rsidDel="00000000" w:rsidR="00000000" w:rsidRPr="00000000">
        <w:rPr>
          <w:rtl w:val="0"/>
        </w:rPr>
      </w:r>
    </w:p>
    <w:p w:rsidR="00000000" w:rsidDel="00000000" w:rsidP="00000000" w:rsidRDefault="00000000" w:rsidRPr="00000000" w14:paraId="0000006E">
      <w:pPr>
        <w:tabs>
          <w:tab w:val="left" w:leader="none" w:pos="3960"/>
        </w:tabs>
        <w:spacing w:line="360" w:lineRule="auto"/>
        <w:rPr/>
      </w:pPr>
      <w:r w:rsidDel="00000000" w:rsidR="00000000" w:rsidRPr="00000000">
        <w:rPr>
          <w:rtl w:val="0"/>
        </w:rPr>
      </w:r>
    </w:p>
    <w:p w:rsidR="00000000" w:rsidDel="00000000" w:rsidP="00000000" w:rsidRDefault="00000000" w:rsidRPr="00000000" w14:paraId="0000006F">
      <w:pPr>
        <w:tabs>
          <w:tab w:val="left" w:leader="none" w:pos="3960"/>
        </w:tabs>
        <w:spacing w:line="360" w:lineRule="auto"/>
        <w:rPr/>
      </w:pPr>
      <w:r w:rsidDel="00000000" w:rsidR="00000000" w:rsidRPr="00000000">
        <w:rPr>
          <w:rtl w:val="0"/>
        </w:rPr>
      </w:r>
    </w:p>
    <w:p w:rsidR="00000000" w:rsidDel="00000000" w:rsidP="00000000" w:rsidRDefault="00000000" w:rsidRPr="00000000" w14:paraId="00000070">
      <w:pPr>
        <w:tabs>
          <w:tab w:val="left" w:leader="none" w:pos="3960"/>
        </w:tabs>
        <w:spacing w:line="360" w:lineRule="auto"/>
        <w:rPr/>
      </w:pPr>
      <w:r w:rsidDel="00000000" w:rsidR="00000000" w:rsidRPr="00000000">
        <w:rPr>
          <w:rtl w:val="0"/>
        </w:rPr>
      </w:r>
    </w:p>
    <w:p w:rsidR="00000000" w:rsidDel="00000000" w:rsidP="00000000" w:rsidRDefault="00000000" w:rsidRPr="00000000" w14:paraId="00000071">
      <w:pPr>
        <w:tabs>
          <w:tab w:val="left" w:leader="none" w:pos="3960"/>
        </w:tabs>
        <w:spacing w:line="360" w:lineRule="auto"/>
        <w:rPr/>
      </w:pPr>
      <w:r w:rsidDel="00000000" w:rsidR="00000000" w:rsidRPr="00000000">
        <w:rPr>
          <w:rtl w:val="0"/>
        </w:rPr>
      </w:r>
    </w:p>
    <w:p w:rsidR="00000000" w:rsidDel="00000000" w:rsidP="00000000" w:rsidRDefault="00000000" w:rsidRPr="00000000" w14:paraId="00000072">
      <w:pPr>
        <w:tabs>
          <w:tab w:val="left" w:leader="none" w:pos="3960"/>
        </w:tabs>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tabs>
        <w:tab w:val="left" w:leader="none" w:pos="3960"/>
      </w:tabs>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tabs>
        <w:tab w:val="left" w:leader="none" w:pos="3960"/>
      </w:tabs>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dMwiNwRm8YZD+GOzs8MjUzkm4A==">CgMxLjAyDmguOGVkNHdrN2x1OGN5Mg5oLnUzcng4N2x6aDU4YjINaC5sa2N6MGg2em91MTIOaC5jbDI3aDVxZ2M2ZjEyDmgubzVkMTB5OHlxZnJkMg5oLnlsbzIweW0ycnc1NTIOaC5sM21pdnVsNmQ1aG0yDmguZDNlZjVpOTJ0ZWh1Mg5oLnozOTRlbXlqaTF0ZDIOaC4zbndzNXNkd29oNDUyDmgudzl1N2pqbnV1ZDh0MghoLmdqZGd4czgAciExNEwzNHlSM09qVzFVV016UG5UREFiakM0V255bkRqRk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2019-09-23T14:10:00Z</dcterms:created>
  <dc:creator>Usuario Genérico Base de Datos - Biblioteca</dc:creator>
</cp:coreProperties>
</file>