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(2009). Resolución N°. 045-2009/CLC-INDECOPI del 25 de junio de 2009. Desistimiento de la pretensión y del procedimiento formulado por Compañía Cervecera Ambev Perú S.A.C en relación a la denuncia interpuesta en contra de Unión de Cervecerías Peruanas Backus y Johnston S.A.A.; Compañía Cervecera del Sur S.A.A.; Cervecería San Juan S.A.A.; Maltería Lima S.A.; el Comité de Fabricantes de Cerveza de la Sociedad Nacional de Industrias; la Confederación de Titulares de Marcas Cerveceras Peruanas y San Ignacio S.A. https://www.yumpu.com/es/document/view/36246773/expediente-na-001-2004-clc-045-2009-clc-indecopi-25-de-#google_vignette</w:t>
      </w:r>
      <w:r w:rsidDel="00000000" w:rsidR="00000000" w:rsidRPr="00000000">
        <w:rPr>
          <w:rtl w:val="0"/>
        </w:rPr>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Inicio página 1-6</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25 de junio de 2009 </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VISTO: </w:t>
      </w:r>
    </w:p>
    <w:p w:rsidR="00000000" w:rsidDel="00000000" w:rsidP="00000000" w:rsidRDefault="00000000" w:rsidRPr="00000000" w14:paraId="00000006">
      <w:pPr>
        <w:widowControl w:val="0"/>
        <w:spacing w:after="0" w:line="360" w:lineRule="auto"/>
        <w:jc w:val="both"/>
        <w:rPr/>
      </w:pPr>
      <w:bookmarkStart w:colFirst="0" w:colLast="0" w:name="_heading=h.gjdgxs" w:id="0"/>
      <w:bookmarkEnd w:id="0"/>
      <w:r w:rsidDel="00000000" w:rsidR="00000000" w:rsidRPr="00000000">
        <w:rPr>
          <w:rtl w:val="0"/>
        </w:rPr>
        <w:t xml:space="preserve">El desistimiento presentado por Compañía Cervecera Ambev Perú S.A.C. (en adelante, Ambev), mediante escrito del 3 de abril de 2009, en el procedimiento iniciado por denuncia de esta empresa contra Unión de Cervecerías Peruanas Backus y Johnston S.A.A. (en adelante, Backus); Compañía Cervecera del Sur S.A.A. (en adelante, Cervesur); Cervecería San Juan S.A.A. (en adelante, San Juan); Maltería Lima S.A. (en adelante, Maltería); el Comité de Fabricantes de Cerveza de la Sociedad Nacional de Industrias (en adelante, el Comité); y la Confederación de Titulares de Marcas Cerveceras Peruanas (en adelante, la Confederación); y,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CONSIDERANDO: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I ANTECEDENTES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1 El 8 de enero de 2004, Ambev presentó una denuncia por abuso de posición de dominio al amparo del Decreto Legislativo 701 contra Backus, Cervesur, San Juan, Maltería, el Comité y la Confederación, alegando la existencia de una estrategia conducente a impedir su acceso al denominado Sistema de Intercambiabilidad de Envases (en adelante, SIE).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2 El 17 de febrero de 2004, Ambev amplió su denuncia por abuso de posición de dominio en contra de Backus, Cervesur, San Juan y Maltería, alegando la existencia de una estrategia consistente en la celebración de contratos de exclusividad con el fin de impedir su acceso a los principales canales de distribución minorista de cerveza.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3 Mediante Resolución Nº 010-2004-INDECOPI/CLC del 10 de marzo de 2004, la Comisión de Defensa de la Libre Competencia (en adelante, la Comisión) admitió a trámite la denuncia presentada por Ambev1.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4 Mediante Resolución Nº 006-2007-INDECOPI/CLC del 31 de enero de 2007, la Comisión resolvió declarar improcedente, entre otros pedidos formulados por Ambev, la incorporación al procedimiento de San Ignacio S.A. (en adelante, San Ignacio), agente de distribución mayorista de Backus y Cervesur, por la presunta comisión de abuso de posición de domino en la modalidad de acuerdos verticales de venta exclusiva.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5 Mediante Resolución Nº 2047-2007/TDC-INDECOPI del 24 de octubre de 2007, la Sala de Defensa de la Competencia del Tribunal del INDECOPI resolvió declarar la nulidad de la Resolución Nº 006-2007-INDECOPI/CLC y, entre otros, dispuso admitir la solicitud de ampliación de denuncia presentada por Ambev contra San Ignacio y las empresas del Grupo Backus2 por la celebración de contratos de venta exclusiva entre San Ignacio y puntos de venta minoristas.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6 Mediante Resolución Nº 004-2008/ST-CLC-INDECOPI del 19 de noviembre de 2008, la Secretaría Técnica de la Comisión admitió la solicitud de ampliación de denuncia contra San Ignacio y Backus por presunto abuso de posición de dominio a través de la celebración de acuerdos verticales de venta exclusiva entre la primera y puntos de venta minoristas.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7 Mediante escrito del 3 de abril de 2009, Ambev manifestó su voluntad de desistirse de todas las pretensiones que formuló y que fueron tramitadas en el procedimiento administrativo seguido bajo el Expediente Nº 001-2004/CLC en contra de Backus, Cervesur, San Juan, Maltería, el Comité, la Confederación y San Ignacio por la presunta comisión de actos contrarios al Decreto Legislativo 701.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Ambev señaló que las circunstancias de terminación del procedimiento por desistimiento, no afectaría ningún tipo de interés que amerite que la Comisión continúe de oficio el procedimiento, motivo por el cual, debía declararse su conclusión.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II CUESTIONES EN DISCUSIÓN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(i) Si corresponde aceptar el desistimiento presentado por Ambev; y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(ii) Si del análisis de los hechos esta Comisión considera que podría estarse afectando intereses de terceros o el interés general, caso en el cual, se deberá continuar de oficio el procedimiento.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III ANÁLISIS DE LAS CUESTIONES EN DISCUSIÓN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8 La solicitud de desistimiento debe ser suscrita por el representante de Ambev que se encuentre autorizado para realizar dicho acto jurídico, lo cual se ha verificado en el presente caso. En efecto, se aprecia que el documento fue suscrito por el señor Carlos Celis Noriega, Gerente General de Ambev.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9 Asimismo, de conformidad con lo dispuesto por el artículo 189 de la Ley 27444 3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el escrito de desistimiento precisa su contenido y alcances, y menciona que el desistimiento comprende las pretensiones formuladas por Ambev en el marco del procedimiento seguido bajo el Expediente Nº 001-2004/CLC, por lo que solicita a la Comisión que declare su conclusión. En consecuencia, toda vez que se han cumplido los requisitos previstos en los artículos 189.4 y 189.6 de la Ley 27444, corresponde aprobar el desistimiento de Ambev.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10 Sin perjuicio de lo anterior, esta Comisión debe evaluar si existen elementos de juicio a partir de los cuales deba continuar de oficio con el procedimiento por una posible afectación a intereses de terceros o al interés general, de conformidad con lo dispuesto en el numeral 189.7 de la Ley 27444.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11 Al respecto, de acuerdo al análisis contenido en el documento anexo a la presente resolución, esta Comisión ha llegado a la conclusión de que, en relación a las conductas denunciadas como presunto abuso de posición de dominio – la celebración de acuerdos verticales de venta exclusiva y la negativa injustificada de acceso al SIE –, no se advierte una posible afectación al interés de terceros o al interés general.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12 En el presente caso, de acuerdo al análisis realizado, el Grupo Backus habría ostentado posición de dominio en el mercado de producción y distribución mayorista de cerveza en el Perú durante el periodo de investigación. Dado lo anterior, esta Comisión evaluó si la celebración de acuerdos verticales de venta exclusiva y la presunta negativa injustificada de acceso al SIE podrían constituir prácticas de abuso de posición de dominio. La tenencia de posición de dominio es un requisito necesario para la realización de toda práctica de abuso de posición de dominio.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13 En cuanto a la celebración de acuerdos verticales de venta exclusiva como abuso de posición de dominio, esta Comisión considera que su evaluación debe considerar los siguientes criterios: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(i) El índice de cierre de mercado resultado de la práctica; (ii) La duración efectiva de la relación contractual;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(iii) Las justificaciones comerciales de su implementación; y, (iv) El balance de aspectos pro y anticompetitivos.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14 El índice de cierre de mercado es una medida de la proporción de agentes comercializadores que se han vinculado de forma exclusiva a la empresa dominante y, principalmente, de los niveles de ventas que aquéllos representan. Un índice de cierre de mercado bajo podrá indicar directamente la inexistencia de una práctica anticompetitiva puesto que la conducta investigada no tendría la capacidad de afectar el proceso competitivo. La aplicación de este criterio por parte de las principales agencias de competencia a nivel internacional ha llevado a establecer el umbral de 30% a 40%, por debajo del cuál podría descartarse la existencia de una conducta de abuso de posición de dominio4.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15 La duración efectiva de la relación de exclusividad, considerando el plazo contractual acordado y las cláusulas de resolución disponibles, es un elemento importante en la evaluación de contratos de exclusividad como prácticas anticompetitivas. Contratos de corta duración o con cláusulas de resolución que permiten dejarlos sin efecto en un corto plazo no serán considerados como una amenaza al proceso competitivo.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16 La aplicación de la “regla de la razón” es la manera adecuada de analizar un caso de acuerdos verticales de venta exclusiva como práctica anticompetitiva, debiendo evaluarse sus posibles justificaciones en términos de eficiencia y sus aspectos nocivos sobre el proceso competitivo.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17 En particular, en el presente caso, el porcentaje del mercado relevante que habría sido cubierto por los acuerdos de venta exclusiva celebrados entre el Grupo Backus y los minoristas no podría representar un problema para la competencia, puesto que se trataría de cuotas relativamente pequeñas (tanto en número de minoristas exclusivos como en los niveles de ventas que éstos representan), que permitirían la disponibilidad de un porcentaje importante de la red de distribución para otros competidores en la producción y distribución mayorista de cerveza en el Perú.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18 La duración efectiva de los contratos de exclusividad, dado el plazo pactado (de aproximadamente 3 años) y la posibilidad de prórroga de dicho plazo por el incumplimiento de las metas de compra establecidas en los contratos, podría ser indicador de una restricción a la disponibilidad de los minoristas exclusivos para competidores del Grupo Backus. Sin embargo, el nivel de difusión de dichos contratos, medido a través del índice de cierre de mercado, constituye un elemento fundamental que elimina la posibilidad de que la política comercial analizada pueda constituir una práctica anticompetitiva.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19 En consecuencia, de acuerdo al análisis realizado, esta Comisión considera que no se habría constituido el abuso de posición de dominio en la modalidad de acuerdos verticales de venta exclusiva que fuera denunciado por Ambev, y en ese sentido, de los hechos materia de denuncia no se advierte la posibilidad de afectación de intereses de terceros o del interés general, por lo que no corresponde continuar de oficio con el procedimiento, debiendo declararse su conclusión, en relación al presente extremo de la denuncia.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20 En cuanto a la imposición de barreras estratégicas a la entrada como abuso de posición de dominio, esta Comisión considera pertinente señalar que su evaluación debe considerar los siguientes criterios: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(i) El impacto de la supuesta conducta anticompetitiva sobre la oportunidad5, probabilidad6 y suficiencia7 de la entrada.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(ii) Las barreras a la entrada estratégicas son conductas que pueden impedir o dilatar el ingreso al mercado de potenciales competidores. La dilación de la entrada de un nuevo competidor, producto de una conducta reñida con la eficiencia económica por parte del agente dominante, también se encuentra prohibida por sus efectos nocivos sobre el proceso competitivo.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(iii) Las barreras a la entrada estratégicas pueden ser entendidas como costos impuestos por la empresa dominante a potenciales competidores con la expectativa de impedir, restringir o dilatar su ingreso al mercado. En su análisis se deberá evaluar la magnitud de tales costos y su impacto en el proceso competitivo. En particular, las barreras estratégicas podrían tomar la forma de la elevación de costos de cambio8 (“switching costs”).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(iv) Una posible barrera estratégica se encuentra en la negativa de mantener acuerdos de colaboración entre empresas que podrían ser importantes para operar en el mercado. Sin embargo, si el acuerdo no es relevante para convertirse en un competidor efectivo, la negativa de colaboración, incluso sin justificación, no se constituye en una práctica anticompetitiva, dada la imposibilidad de que afecte el proceso competitivo.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21 En particular, en el presente caso, la negativa de acceso al SIE resultó injustificada dado que contravino normas contenidas en los Estatutos del CFC y de la SNI. Adicionalmente, habría tenido un impacto sobre los costos de cambio y una intención de dilatar el proceso de ingreso al mercado de Ambev.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22 Sin embargo, teniendo en consideración el nivel de los costos involucrados, no se puede afirmar que exista la posibilidad de afectación al interés de terceros o al interés general.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23 Ciertamente, para todos los escenarios evaluados, el costo impuesto a Ambev por la negativa de acceso al SIE atribuible a cada venta no es significativo; no presentándose un impacto relevante en relación al incremento de costos de cambio ni a la intención de dilatar el proceso de ingreso al mercado de Ambev. Por lo tanto, no se ha encontrado una afectación a la capacidad de competir de ésta.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24 En tal sentido, a pesar de la existencia de una negativa injustificada de trato y de costos generados por la conducta; de acuerdo a la evidencia analizada, dicha conducta no tuvo un impacto significativo en los costos de Ambev y no representó una afectación a su capacidad de competir ni a la oportunidad de su ingreso al mercado.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25 En consecuencia, de acuerdo al análisis realizado, esta Comisión considera que no se habría constituido el abuso de posición de dominio en la modalidad de negativa injustificada de acceso al SIE que fuera denunciado por Ambev, y en ese sentido, de los hechos materia de denuncia no se advierte la posibilidad de afectación de intereses de terceros o del interés general, por lo que no corresponde continuar de oficio con el procedimiento, debiendo declararse su conclusión, en relación al presente extremo de la denuncia.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26 De acuerdo a lo anterior, corresponde no disponer la continuación del presente procedimiento de oficio y, por ende, declarar su conclusión respecto de todos los agentes comprendidos en calidad de investigados en el Expediente Nº 001- 2004/CLC.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Estando a lo previsto en la Constitución Política del Perú, el Decreto Legislativo 1034 y la Ley 27444, la Comisión de Defensa de la Libre Competencia,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RESUELVE: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Primero: Aceptar el desistimiento de la pretensión y del procedimiento formulado por Compañía Cervecera Ambev Perú S.A.C en relación a la denuncia interpuesta en contra de Unión de Cervecerías Peruanas Backus y Johnston S.A.A.; Compañía Cervecera del Sur S.A.A.; Cervecería San Juan S.A.A.; Maltería Lima S.A.; el Comité de Fabricantes de Cerveza de la Sociedad Nacional de Industrias; la Confederación de Titulares de Marcas Cerveceras Peruanas y San Ignacio S.A.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Segundo: Declarar la conclusión del procedimiento en la medida que no se ha verificado que las presuntas prácticas denunciadas por Compañía Cervecera Ambev Perú S.A.C. puedan afectar intereses de terceros o el interés general. En virtud de ello, la conclusión del procedimiento también alcanza a la Sociedad Nacional de Industrias, asociación que fue comprendida en calidad de investigada.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Con el voto favorable de los señores miembros de la Comisión de Defensa de la Libre Competencia: Paul Phumpiu Chang, Lorena Masías Quiroga y Fabián Novak Talavera.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Paul Phumpiu Chang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Presidente</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szXl24U+MK/aUD8wk9NgQ4Q6lQ==">CgMxLjAyCGguZ2pkZ3hzOAByITE4eHpkaXNQbWZZVV80LW5WbHE5ZmJvbjdhQ29MSk1fbA==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2024-04-10T05:25:00Z</dcterms:created>
  <dc:creator>Elvis Montero Pedroso</dc:creator>
</cp:coreProperties>
</file>