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widowControl w:val="0"/>
        <w:spacing w:after="0" w:line="360" w:lineRule="auto"/>
        <w:jc w:val="both"/>
        <w:rPr/>
      </w:pPr>
      <w:bookmarkStart w:colFirst="0" w:colLast="0" w:name="_heading=h.y6f2a833dxpx" w:id="0"/>
      <w:bookmarkEnd w:id="0"/>
      <w:r w:rsidDel="00000000" w:rsidR="00000000" w:rsidRPr="00000000">
        <w:rPr>
          <w:rtl w:val="0"/>
        </w:rPr>
        <w:t xml:space="preserve">Tribunal de defensa de la competencia y de la propiedad intelectual. (2002). Resolución N°. 006-2002-CLC- INDECOPI del 13 de mayo de 2002Declarar nula la resolución que admitió a trámite el presente caso y remitir todo lo</w:t>
      </w:r>
    </w:p>
    <w:p w:rsidR="00000000" w:rsidDel="00000000" w:rsidP="00000000" w:rsidRDefault="00000000" w:rsidRPr="00000000" w14:paraId="00000002">
      <w:pPr>
        <w:widowControl w:val="0"/>
        <w:spacing w:after="0" w:line="360" w:lineRule="auto"/>
        <w:jc w:val="both"/>
        <w:rPr/>
      </w:pPr>
      <w:bookmarkStart w:colFirst="0" w:colLast="0" w:name="_heading=h.f3twszff58ka" w:id="1"/>
      <w:bookmarkEnd w:id="1"/>
      <w:r w:rsidDel="00000000" w:rsidR="00000000" w:rsidRPr="00000000">
        <w:rPr>
          <w:rtl w:val="0"/>
        </w:rPr>
        <w:t xml:space="preserve">actuado a OSINERG sobre los escargos presentados por laEmpresa de Distribución Eléctrica de Lima - Norte S.A.A.- Edelnor, ante la denuncia interpuesta por Paneles Napsa S.A. en su contra, por presunto abuso de posición de dominio</w:t>
      </w:r>
    </w:p>
    <w:p w:rsidR="00000000" w:rsidDel="00000000" w:rsidP="00000000" w:rsidRDefault="00000000" w:rsidRPr="00000000" w14:paraId="00000003">
      <w:pPr>
        <w:widowControl w:val="0"/>
        <w:spacing w:after="0" w:line="360" w:lineRule="auto"/>
        <w:jc w:val="both"/>
        <w:rPr/>
      </w:pPr>
      <w:bookmarkStart w:colFirst="0" w:colLast="0" w:name="_heading=h.gjdgxs" w:id="2"/>
      <w:bookmarkEnd w:id="2"/>
      <w:r w:rsidDel="00000000" w:rsidR="00000000" w:rsidRPr="00000000">
        <w:rPr>
          <w:rtl w:val="0"/>
        </w:rPr>
      </w:r>
    </w:p>
    <w:p w:rsidR="00000000" w:rsidDel="00000000" w:rsidP="00000000" w:rsidRDefault="00000000" w:rsidRPr="00000000" w14:paraId="00000004">
      <w:pPr>
        <w:widowControl w:val="0"/>
        <w:spacing w:after="0" w:line="360" w:lineRule="auto"/>
        <w:jc w:val="both"/>
        <w:rPr/>
      </w:pPr>
      <w:r w:rsidDel="00000000" w:rsidR="00000000" w:rsidRPr="00000000">
        <w:rPr>
          <w:rtl w:val="0"/>
        </w:rPr>
        <w:t xml:space="preserve">Inicio página 1</w:t>
      </w:r>
    </w:p>
    <w:p w:rsidR="00000000" w:rsidDel="00000000" w:rsidP="00000000" w:rsidRDefault="00000000" w:rsidRPr="00000000" w14:paraId="00000005">
      <w:pPr>
        <w:widowControl w:val="0"/>
        <w:spacing w:after="0" w:line="360" w:lineRule="auto"/>
        <w:jc w:val="both"/>
        <w:rPr/>
      </w:pPr>
      <w:r w:rsidDel="00000000" w:rsidR="00000000" w:rsidRPr="00000000">
        <w:rPr>
          <w:rtl w:val="0"/>
        </w:rPr>
        <w:t xml:space="preserve">Exp. 001-2002-CLC</w:t>
      </w:r>
    </w:p>
    <w:p w:rsidR="00000000" w:rsidDel="00000000" w:rsidP="00000000" w:rsidRDefault="00000000" w:rsidRPr="00000000" w14:paraId="00000006">
      <w:pPr>
        <w:widowControl w:val="0"/>
        <w:spacing w:after="0" w:line="360" w:lineRule="auto"/>
        <w:jc w:val="both"/>
        <w:rPr/>
      </w:pPr>
      <w:r w:rsidDel="00000000" w:rsidR="00000000" w:rsidRPr="00000000">
        <w:rPr>
          <w:rtl w:val="0"/>
        </w:rPr>
        <w:t xml:space="preserve">006-2002-CLC/INDECOPI</w:t>
      </w:r>
    </w:p>
    <w:p w:rsidR="00000000" w:rsidDel="00000000" w:rsidP="00000000" w:rsidRDefault="00000000" w:rsidRPr="00000000" w14:paraId="00000007">
      <w:pPr>
        <w:widowControl w:val="0"/>
        <w:spacing w:after="0" w:line="360" w:lineRule="auto"/>
        <w:jc w:val="both"/>
        <w:rPr/>
      </w:pPr>
      <w:r w:rsidDel="00000000" w:rsidR="00000000" w:rsidRPr="00000000">
        <w:rPr>
          <w:rtl w:val="0"/>
        </w:rPr>
        <w:t xml:space="preserve">13 de marzo del 2002</w:t>
      </w:r>
    </w:p>
    <w:p w:rsidR="00000000" w:rsidDel="00000000" w:rsidP="00000000" w:rsidRDefault="00000000" w:rsidRPr="00000000" w14:paraId="00000008">
      <w:pPr>
        <w:widowControl w:val="0"/>
        <w:spacing w:after="0" w:line="360" w:lineRule="auto"/>
        <w:jc w:val="both"/>
        <w:rPr/>
      </w:pPr>
      <w:r w:rsidDel="00000000" w:rsidR="00000000" w:rsidRPr="00000000">
        <w:rPr>
          <w:rtl w:val="0"/>
        </w:rPr>
        <w:t xml:space="preserve">VISTO:</w:t>
      </w:r>
    </w:p>
    <w:p w:rsidR="00000000" w:rsidDel="00000000" w:rsidP="00000000" w:rsidRDefault="00000000" w:rsidRPr="00000000" w14:paraId="00000009">
      <w:pPr>
        <w:widowControl w:val="0"/>
        <w:spacing w:after="0" w:line="360" w:lineRule="auto"/>
        <w:jc w:val="both"/>
        <w:rPr/>
      </w:pPr>
      <w:r w:rsidDel="00000000" w:rsidR="00000000" w:rsidRPr="00000000">
        <w:rPr>
          <w:rtl w:val="0"/>
        </w:rPr>
        <w:t xml:space="preserve">Los descargos presentados por la Empresa de Distribución Eléctrica de Lima - Norte S.A.A.- Edelnor, ante la denuncia interpuesta por Paneles Napsa S.A. en su contra, por presunto abuso de posición de dominio, en la modalidad de negativa injustificada a contratar y trato discriminatorio; en la que solicitan la declaración de incompetencia por parte de Comisión de Libre Competencia; y</w:t>
      </w:r>
    </w:p>
    <w:p w:rsidR="00000000" w:rsidDel="00000000" w:rsidP="00000000" w:rsidRDefault="00000000" w:rsidRPr="00000000" w14:paraId="0000000A">
      <w:pPr>
        <w:widowControl w:val="0"/>
        <w:spacing w:after="0" w:line="360" w:lineRule="auto"/>
        <w:jc w:val="both"/>
        <w:rPr/>
      </w:pPr>
      <w:r w:rsidDel="00000000" w:rsidR="00000000" w:rsidRPr="00000000">
        <w:rPr>
          <w:rtl w:val="0"/>
        </w:rPr>
        <w:t xml:space="preserve">CONSIDERANDO:</w:t>
      </w:r>
    </w:p>
    <w:p w:rsidR="00000000" w:rsidDel="00000000" w:rsidP="00000000" w:rsidRDefault="00000000" w:rsidRPr="00000000" w14:paraId="0000000B">
      <w:pPr>
        <w:widowControl w:val="0"/>
        <w:spacing w:after="0" w:line="360" w:lineRule="auto"/>
        <w:jc w:val="both"/>
        <w:rPr/>
      </w:pPr>
      <w:r w:rsidDel="00000000" w:rsidR="00000000" w:rsidRPr="00000000">
        <w:rPr>
          <w:rtl w:val="0"/>
        </w:rPr>
        <w:t xml:space="preserve">1. El 13 de noviembre del 2001, la empresa Paneles Napsa S.A. (en adelante, Napsa), presentó una denuncia en contra de la empresa de Distribución Eléctrica de Lima, (en adelante, Edelnor), por “negarse injustificadamente a satisfacer nuestra solicitud de proporcionarnos el suministro de 0.30 kw, conexión en caja de poste de alumbrado público con porta fusible y aplicación de la tarifa BT6, para abastecer de energía a dos paneles publicitarios de nuestra propiedad ubicados en las cuadras 12 y 13 de la Av. La Marina” de acuerdo al literal a) del artículo 5 del Decreto Legislativo N°701.</w:t>
      </w:r>
    </w:p>
    <w:p w:rsidR="00000000" w:rsidDel="00000000" w:rsidP="00000000" w:rsidRDefault="00000000" w:rsidRPr="00000000" w14:paraId="0000000C">
      <w:pPr>
        <w:widowControl w:val="0"/>
        <w:spacing w:after="0" w:line="360" w:lineRule="auto"/>
        <w:jc w:val="both"/>
        <w:rPr/>
      </w:pPr>
      <w:r w:rsidDel="00000000" w:rsidR="00000000" w:rsidRPr="00000000">
        <w:rPr>
          <w:rtl w:val="0"/>
        </w:rPr>
        <w:t xml:space="preserve">Además, Napsa denunció a Edelnor ‘por aplicar en las relaciones comerciales con nuestra compañía condiciones desiguales a las otorgadas a la empresa Punto Visual, a pesar de tratarse de prestaciones equivalentes, sin justificación alguna” de acuerdo al artículo 5 inciso b) del Decreto Legislativo N° 701 (en adelante el Decreto Legislativo).</w:t>
      </w:r>
    </w:p>
    <w:p w:rsidR="00000000" w:rsidDel="00000000" w:rsidP="00000000" w:rsidRDefault="00000000" w:rsidRPr="00000000" w14:paraId="0000000D">
      <w:pPr>
        <w:widowControl w:val="0"/>
        <w:spacing w:after="0" w:line="360" w:lineRule="auto"/>
        <w:jc w:val="both"/>
        <w:rPr/>
      </w:pPr>
      <w:r w:rsidDel="00000000" w:rsidR="00000000" w:rsidRPr="00000000">
        <w:rPr>
          <w:rtl w:val="0"/>
        </w:rPr>
        <w:t xml:space="preserve">2. Según Napsa, el 12 de setiembre del 2001, Edelnor le remitió una carta indicándole que su requerimiento no podría ser atendido, debido a que a lo largo de la Av. La Marina se encuentran instaladas líneas de alta tensión cuya proyección sobre el suelo constituye la franja de servidumbre establecido por la Ley General de Electricidad N°23406 y la Resolución Ministerial N° 004-96-EM/VME.</w:t>
      </w:r>
    </w:p>
    <w:p w:rsidR="00000000" w:rsidDel="00000000" w:rsidP="00000000" w:rsidRDefault="00000000" w:rsidRPr="00000000" w14:paraId="0000000E">
      <w:pPr>
        <w:widowControl w:val="0"/>
        <w:spacing w:after="0" w:line="360" w:lineRule="auto"/>
        <w:jc w:val="both"/>
        <w:rPr/>
      </w:pPr>
      <w:r w:rsidDel="00000000" w:rsidR="00000000" w:rsidRPr="00000000">
        <w:rPr>
          <w:rtl w:val="0"/>
        </w:rPr>
        <w:t xml:space="preserve">3. Como anexo de su denuncia, Napsa presentó una copia de la mencionada Resolución Ministerial, que en su artículo 1 establece una servidumbre de electroducto de líneas de transmisión de 60 kv S.E. Barsi - S.E. Pershing y no en la Av. La Marina1 2, lugar </w:t>
      </w:r>
    </w:p>
    <w:p w:rsidR="00000000" w:rsidDel="00000000" w:rsidP="00000000" w:rsidRDefault="00000000" w:rsidRPr="00000000" w14:paraId="0000000F">
      <w:pPr>
        <w:widowControl w:val="0"/>
        <w:spacing w:after="0" w:line="360" w:lineRule="auto"/>
        <w:jc w:val="both"/>
        <w:rPr/>
      </w:pPr>
      <w:r w:rsidDel="00000000" w:rsidR="00000000" w:rsidRPr="00000000">
        <w:rPr>
          <w:rtl w:val="0"/>
        </w:rPr>
        <w:t xml:space="preserve">Inicio página 2</w:t>
      </w:r>
    </w:p>
    <w:p w:rsidR="00000000" w:rsidDel="00000000" w:rsidP="00000000" w:rsidRDefault="00000000" w:rsidRPr="00000000" w14:paraId="00000010">
      <w:pPr>
        <w:widowControl w:val="0"/>
        <w:spacing w:after="0" w:line="360" w:lineRule="auto"/>
        <w:jc w:val="both"/>
        <w:rPr/>
      </w:pPr>
      <w:r w:rsidDel="00000000" w:rsidR="00000000" w:rsidRPr="00000000">
        <w:rPr>
          <w:rtl w:val="0"/>
        </w:rPr>
        <w:t xml:space="preserve">solicitado por Napsa. Adicionalmente presentó fotografías en las cuales se muestra la exhibición de paneles publicitarios de la empresa Punto Visual instalados a lo largo de la Av. La Marina, los mismos que, en la misma zona solicitada por la denunciante, cuentan con fluido eléctrico brindado por Edelnor.</w:t>
      </w:r>
    </w:p>
    <w:p w:rsidR="00000000" w:rsidDel="00000000" w:rsidP="00000000" w:rsidRDefault="00000000" w:rsidRPr="00000000" w14:paraId="00000011">
      <w:pPr>
        <w:widowControl w:val="0"/>
        <w:spacing w:after="0" w:line="360" w:lineRule="auto"/>
        <w:jc w:val="both"/>
        <w:rPr/>
      </w:pPr>
      <w:r w:rsidDel="00000000" w:rsidR="00000000" w:rsidRPr="00000000">
        <w:rPr>
          <w:rtl w:val="0"/>
        </w:rPr>
        <w:t xml:space="preserve">4. El 16 de enero de 2002, mediante Resolución N° 001-2002-CLC/INDECOPI, la Comisión de Libre Competencia (en adelante, la Comisión), admitió a trámite la denuncia, por reunir los requisitos de admisibilidad y presentar indicios que suponían vulnerar las normas de libre competencia.</w:t>
      </w:r>
    </w:p>
    <w:p w:rsidR="00000000" w:rsidDel="00000000" w:rsidP="00000000" w:rsidRDefault="00000000" w:rsidRPr="00000000" w14:paraId="00000012">
      <w:pPr>
        <w:widowControl w:val="0"/>
        <w:spacing w:after="0" w:line="360" w:lineRule="auto"/>
        <w:jc w:val="both"/>
        <w:rPr/>
      </w:pPr>
      <w:r w:rsidDel="00000000" w:rsidR="00000000" w:rsidRPr="00000000">
        <w:rPr>
          <w:rtl w:val="0"/>
        </w:rPr>
        <w:t xml:space="preserve">5. El 12 de febrero de 2002, Edelnor presentó su escrito de descargos en el que rechaza las acusaciones de Napsa y establece que: i) la presente denuncia no reúne los requisitos necesarios que configuren una violación a las normas de libre competencia, y en consecuencia la Comisión no es la autoridad competente para pronunciarse en el presente caso, ii) que la denuncia no obedece a una negativa injustificada toda vez que la misma ha sido plenamente justificada al existir impedimentos legales y técnicos que le prohíben a Edelnor proveer energía en la zona de servidumbre, iv) que no existe trato discriminatorio ya que la empresa Punto Visual a la que hace referencia Napsa, se encuentra en la zona de concesión por una mala interpretación de la norma y que tal hecho es de conocimiento de la Organismo Supervisor de la Inversión en Energía, (en </w:t>
      </w:r>
    </w:p>
    <w:p w:rsidR="00000000" w:rsidDel="00000000" w:rsidP="00000000" w:rsidRDefault="00000000" w:rsidRPr="00000000" w14:paraId="00000013">
      <w:pPr>
        <w:widowControl w:val="0"/>
        <w:spacing w:after="0" w:line="360" w:lineRule="auto"/>
        <w:jc w:val="both"/>
        <w:rPr/>
      </w:pPr>
      <w:r w:rsidDel="00000000" w:rsidR="00000000" w:rsidRPr="00000000">
        <w:rPr>
          <w:rtl w:val="0"/>
        </w:rPr>
        <w:t xml:space="preserve">adelante, OSINERG), el mismo que está por emitir un pronunciamiento, que, de ser desfavorable a Punto Visual, hará que Edelnor corte de plano el fluido eléctrico de la citada empresa; y, por último, v) que la presente denuncia es de competencia del OSINERG, quien tiene competencia en la resolución de conflictos entre los concesionarios de energía y los clientes regulados.</w:t>
      </w:r>
    </w:p>
    <w:p w:rsidR="00000000" w:rsidDel="00000000" w:rsidP="00000000" w:rsidRDefault="00000000" w:rsidRPr="00000000" w14:paraId="00000014">
      <w:pPr>
        <w:widowControl w:val="0"/>
        <w:spacing w:after="0" w:line="360" w:lineRule="auto"/>
        <w:jc w:val="both"/>
        <w:rPr/>
      </w:pPr>
      <w:r w:rsidDel="00000000" w:rsidR="00000000" w:rsidRPr="00000000">
        <w:rPr>
          <w:rtl w:val="0"/>
        </w:rPr>
        <w:t xml:space="preserve">6. Adicionalmente la Secretaría Técnica elaboró un Informe Técnico en el que determinó, de acuerdo al análisis realizado, y contando con mayor información, de los descargos de la denunciada, que la Comisión no sería competente para pronunciarse en el procedente procedimiento.</w:t>
      </w:r>
    </w:p>
    <w:p w:rsidR="00000000" w:rsidDel="00000000" w:rsidP="00000000" w:rsidRDefault="00000000" w:rsidRPr="00000000" w14:paraId="00000015">
      <w:pPr>
        <w:widowControl w:val="0"/>
        <w:spacing w:after="0" w:line="360" w:lineRule="auto"/>
        <w:jc w:val="both"/>
        <w:rPr/>
      </w:pPr>
      <w:r w:rsidDel="00000000" w:rsidR="00000000" w:rsidRPr="00000000">
        <w:rPr>
          <w:rtl w:val="0"/>
        </w:rPr>
        <w:t xml:space="preserve">ANÁLISIS DE LA CUESTIÓN</w:t>
      </w:r>
    </w:p>
    <w:p w:rsidR="00000000" w:rsidDel="00000000" w:rsidP="00000000" w:rsidRDefault="00000000" w:rsidRPr="00000000" w14:paraId="00000016">
      <w:pPr>
        <w:widowControl w:val="0"/>
        <w:spacing w:after="0" w:line="360" w:lineRule="auto"/>
        <w:jc w:val="both"/>
        <w:rPr/>
      </w:pPr>
      <w:r w:rsidDel="00000000" w:rsidR="00000000" w:rsidRPr="00000000">
        <w:rPr>
          <w:rtl w:val="0"/>
        </w:rPr>
        <w:t xml:space="preserve">7. La Ley de Concesiones Eléctricas (en adelante, LCE) divide a la industria eléctrica en cuatro actividades, de generación, transmisión, distribución y comercialización, estableciéndose un esquema de desintegración vertical de las actividades eléctricas. Sobre el particular, la actividad de distribución consiste en la provisión de energía desde las subestaciones hacia los hogares, oficinas y fábricas.</w:t>
      </w:r>
    </w:p>
    <w:p w:rsidR="00000000" w:rsidDel="00000000" w:rsidP="00000000" w:rsidRDefault="00000000" w:rsidRPr="00000000" w14:paraId="00000017">
      <w:pPr>
        <w:widowControl w:val="0"/>
        <w:spacing w:after="0" w:line="360" w:lineRule="auto"/>
        <w:jc w:val="both"/>
        <w:rPr/>
      </w:pPr>
      <w:r w:rsidDel="00000000" w:rsidR="00000000" w:rsidRPr="00000000">
        <w:rPr>
          <w:rtl w:val="0"/>
        </w:rPr>
        <w:t xml:space="preserve">8. Las empresas peruanas de distribución realizan dos actividades, la actividad de distribución propiamente dicha, que consiste en el cobro de un peaje por el uso de las instalaciones - redes y transformadores - de distribución y, la actividad de comercialización o venta de energía y potencia a los clientes finales. En el primer caso, las empresas de distribución ostentan un monopolio natural, mientras que en el segundo, ostentan un monopolio legal en la comercialización o venta a los clientes con demandas inferiores a 1 MW de potencia (clientes regulados) y se encuentran dentro de un régimen de competencia en la venta a los clientes con demandas superiores a 1 MW de potencia (clientes libres).</w:t>
      </w:r>
    </w:p>
    <w:p w:rsidR="00000000" w:rsidDel="00000000" w:rsidP="00000000" w:rsidRDefault="00000000" w:rsidRPr="00000000" w14:paraId="00000018">
      <w:pPr>
        <w:widowControl w:val="0"/>
        <w:spacing w:after="0" w:line="360" w:lineRule="auto"/>
        <w:jc w:val="both"/>
        <w:rPr/>
      </w:pPr>
      <w:r w:rsidDel="00000000" w:rsidR="00000000" w:rsidRPr="00000000">
        <w:rPr>
          <w:rtl w:val="0"/>
        </w:rPr>
        <w:t xml:space="preserve">9. Tomando en cuenta lo anterior, la Ley de Concesiones Eléctricas (en adelante, la LCE), también contempla ciertos principios como el del acceso universal, que consiste en el </w:t>
      </w:r>
    </w:p>
    <w:p w:rsidR="00000000" w:rsidDel="00000000" w:rsidP="00000000" w:rsidRDefault="00000000" w:rsidRPr="00000000" w14:paraId="00000019">
      <w:pPr>
        <w:widowControl w:val="0"/>
        <w:spacing w:after="0" w:line="360" w:lineRule="auto"/>
        <w:jc w:val="both"/>
        <w:rPr/>
      </w:pPr>
      <w:r w:rsidDel="00000000" w:rsidR="00000000" w:rsidRPr="00000000">
        <w:rPr>
          <w:rtl w:val="0"/>
        </w:rPr>
        <w:t xml:space="preserve">Inicio página 3</w:t>
      </w:r>
    </w:p>
    <w:p w:rsidR="00000000" w:rsidDel="00000000" w:rsidP="00000000" w:rsidRDefault="00000000" w:rsidRPr="00000000" w14:paraId="0000001A">
      <w:pPr>
        <w:widowControl w:val="0"/>
        <w:spacing w:after="0" w:line="360" w:lineRule="auto"/>
        <w:jc w:val="both"/>
        <w:rPr/>
      </w:pPr>
      <w:r w:rsidDel="00000000" w:rsidR="00000000" w:rsidRPr="00000000">
        <w:rPr>
          <w:rtl w:val="0"/>
        </w:rPr>
        <w:t xml:space="preserve">derecho que tiene todo usuario de poder acceder al suministro de servicios públicos. En efecto, dicha Ley establece la obligatoriedad del suministro de energía eléctrica a los usuarios de este servicio dentro de la zona de concesión otorgada al distribuidor. En tal sentido el marco legal vigente establece que las empresas distribuidoras se encuentran obligadas a prestar el suministro de energía a todos los clientes regulados dentro de su área de concesión. Para garantizar dicha obligatoriedad, el artículo 34 de la LCE, precisa que: ‘los concesionarios de distribución están obligados a: a) dar servicio a quien lo solicite dentro de su zona de concesión o a aquellos que lleguen a dicha zona con sus propias líneas, en un plazo no mayor de un año y que tengan carácter de Servicio Público de Electricidad’. En consecuencia, al encontrarse este mercado regulado por el OSINERG3; podemos determinar conforme al artículo 93 de la LCE, que </w:t>
      </w:r>
    </w:p>
    <w:p w:rsidR="00000000" w:rsidDel="00000000" w:rsidP="00000000" w:rsidRDefault="00000000" w:rsidRPr="00000000" w14:paraId="0000001B">
      <w:pPr>
        <w:widowControl w:val="0"/>
        <w:spacing w:after="0" w:line="360" w:lineRule="auto"/>
        <w:jc w:val="both"/>
        <w:rPr/>
      </w:pPr>
      <w:r w:rsidDel="00000000" w:rsidR="00000000" w:rsidRPr="00000000">
        <w:rPr>
          <w:rtl w:val="0"/>
        </w:rPr>
        <w:t xml:space="preserve">dicha entidad es la encargada de velar por el cumplimiento de la prestación del servicio de suministro *4.</w:t>
      </w:r>
    </w:p>
    <w:p w:rsidR="00000000" w:rsidDel="00000000" w:rsidP="00000000" w:rsidRDefault="00000000" w:rsidRPr="00000000" w14:paraId="0000001C">
      <w:pPr>
        <w:widowControl w:val="0"/>
        <w:spacing w:after="0" w:line="360" w:lineRule="auto"/>
        <w:jc w:val="both"/>
        <w:rPr/>
      </w:pPr>
      <w:r w:rsidDel="00000000" w:rsidR="00000000" w:rsidRPr="00000000">
        <w:rPr>
          <w:rtl w:val="0"/>
        </w:rPr>
        <w:t xml:space="preserve">10. Por otro lado, el Reglamento de OSINERG, también establece principios que garantizan sus propias funciones, estableciendo de manera explícita que la actuación regulatoria de esta institución es subsidiaria5, es decir, implica que OSINERG sólo interviene cuando existan situaciones que demanden la intervención de esta institución mediante normas que regulen en defecto de la posibilidad de desarrollar una sana competencia en ciertos mercados.</w:t>
      </w:r>
    </w:p>
    <w:p w:rsidR="00000000" w:rsidDel="00000000" w:rsidP="00000000" w:rsidRDefault="00000000" w:rsidRPr="00000000" w14:paraId="0000001D">
      <w:pPr>
        <w:widowControl w:val="0"/>
        <w:spacing w:after="0" w:line="360" w:lineRule="auto"/>
        <w:jc w:val="both"/>
        <w:rPr/>
      </w:pPr>
      <w:r w:rsidDel="00000000" w:rsidR="00000000" w:rsidRPr="00000000">
        <w:rPr>
          <w:rtl w:val="0"/>
        </w:rPr>
        <w:t xml:space="preserve">11. Así también, el Reglamento de OSINERG, en materia de regulación, contempla el principio de supletoriedad el cual establece que las normas de libre competencia se aplican de manera supletoria6. Este principio guarda relación con el principio descrito en el numeral anterior, toda vez que privilegia la regulación y le da un carácter secundario a la aplicación de las normas de libre competencia. Esto resulta consistente con el hecho que las disposiciones regulatorias sustituyen a las reglas del mercado y deja claro que donde no exista regulación se aplicarán las disposiciones de libre competencia.</w:t>
      </w:r>
    </w:p>
    <w:p w:rsidR="00000000" w:rsidDel="00000000" w:rsidP="00000000" w:rsidRDefault="00000000" w:rsidRPr="00000000" w14:paraId="0000001E">
      <w:pPr>
        <w:widowControl w:val="0"/>
        <w:spacing w:after="0" w:line="360" w:lineRule="auto"/>
        <w:jc w:val="both"/>
        <w:rPr/>
      </w:pPr>
      <w:r w:rsidDel="00000000" w:rsidR="00000000" w:rsidRPr="00000000">
        <w:rPr>
          <w:rtl w:val="0"/>
        </w:rPr>
        <w:t xml:space="preserve">12. Ahora bien, si el Estado, a través de OSINERG determinó la necesidad de regular un mercado, tomando la decisión por este, entonces, no sería posible aplicar normas de competencia, ya que el Estado decidió anticipar la solución a cualquier controversia a través de la regulación. En consecuencia, una vez en conflicto regulación y competencia, es la regulación la que debe primar, (la situación en la que el Estado toma una decisión sobre la existencia de competencia), de allí que sean las normas de OSINERG las que primen sobre el Decreto Legislativo 701.</w:t>
      </w:r>
    </w:p>
    <w:p w:rsidR="00000000" w:rsidDel="00000000" w:rsidP="00000000" w:rsidRDefault="00000000" w:rsidRPr="00000000" w14:paraId="0000001F">
      <w:pPr>
        <w:widowControl w:val="0"/>
        <w:spacing w:after="0" w:line="360" w:lineRule="auto"/>
        <w:jc w:val="both"/>
        <w:rPr/>
      </w:pPr>
      <w:r w:rsidDel="00000000" w:rsidR="00000000" w:rsidRPr="00000000">
        <w:rPr>
          <w:rtl w:val="0"/>
        </w:rPr>
        <w:t xml:space="preserve">13. Al respecto, debe señalarse que para el caso concreto materia de la denuncia, Napsa es </w:t>
      </w:r>
    </w:p>
    <w:p w:rsidR="00000000" w:rsidDel="00000000" w:rsidP="00000000" w:rsidRDefault="00000000" w:rsidRPr="00000000" w14:paraId="00000020">
      <w:pPr>
        <w:widowControl w:val="0"/>
        <w:spacing w:after="0" w:line="360" w:lineRule="auto"/>
        <w:jc w:val="both"/>
        <w:rPr/>
      </w:pPr>
      <w:r w:rsidDel="00000000" w:rsidR="00000000" w:rsidRPr="00000000">
        <w:rPr>
          <w:rtl w:val="0"/>
        </w:rPr>
        <w:t xml:space="preserve">un cliente que factura por debajo de los niveles de potencia de energía requeridos para </w:t>
      </w:r>
    </w:p>
    <w:p w:rsidR="00000000" w:rsidDel="00000000" w:rsidP="00000000" w:rsidRDefault="00000000" w:rsidRPr="00000000" w14:paraId="00000021">
      <w:pPr>
        <w:widowControl w:val="0"/>
        <w:spacing w:after="0" w:line="360" w:lineRule="auto"/>
        <w:jc w:val="both"/>
        <w:rPr/>
      </w:pPr>
      <w:r w:rsidDel="00000000" w:rsidR="00000000" w:rsidRPr="00000000">
        <w:rPr>
          <w:rtl w:val="0"/>
        </w:rPr>
        <w:t xml:space="preserve">llegar a ser un cliente libre. Dichos niveles se determinan por la demanda de potencia</w:t>
      </w:r>
    </w:p>
    <w:p w:rsidR="00000000" w:rsidDel="00000000" w:rsidP="00000000" w:rsidRDefault="00000000" w:rsidRPr="00000000" w14:paraId="00000022">
      <w:pPr>
        <w:widowControl w:val="0"/>
        <w:spacing w:after="0" w:line="360" w:lineRule="auto"/>
        <w:jc w:val="both"/>
        <w:rPr/>
      </w:pPr>
      <w:r w:rsidDel="00000000" w:rsidR="00000000" w:rsidRPr="00000000">
        <w:rPr>
          <w:rtl w:val="0"/>
        </w:rPr>
        <w:t xml:space="preserve">Inicio página 4</w:t>
      </w:r>
    </w:p>
    <w:p w:rsidR="00000000" w:rsidDel="00000000" w:rsidP="00000000" w:rsidRDefault="00000000" w:rsidRPr="00000000" w14:paraId="00000023">
      <w:pPr>
        <w:widowControl w:val="0"/>
        <w:spacing w:after="0" w:line="360" w:lineRule="auto"/>
        <w:jc w:val="both"/>
        <w:rPr/>
      </w:pPr>
      <w:r w:rsidDel="00000000" w:rsidR="00000000" w:rsidRPr="00000000">
        <w:rPr>
          <w:rtl w:val="0"/>
        </w:rPr>
        <w:t xml:space="preserve">que se requiere por cada punto de suministro que tenga la denunciante. De allí que esta empresa de publicidad celebre contratos de suministro con Edelnor por cada uno de los paneles que coloca en los distintos puntos de la ciudad dentro del área de concesión. En tal sentido, Napsa es una empresa que tiene demandas por potencia inferiores a 1MW; lo que, conforme al artículo 2 de la LCE y al artículo 2 de su Reglamento7, lo califica como un usuario del Servicio Público de Electricidad o “cliente regulado” que debe ser abastecido únicamente por la distribuidora que opera en la zona de concesión donde el cliente se encuentra ubicado. Del mismo modo, y de acuerdo a lo señalado previamente, Edelnor se encontraría obligado a prestar dicho servicio.</w:t>
      </w:r>
    </w:p>
    <w:p w:rsidR="00000000" w:rsidDel="00000000" w:rsidP="00000000" w:rsidRDefault="00000000" w:rsidRPr="00000000" w14:paraId="00000024">
      <w:pPr>
        <w:widowControl w:val="0"/>
        <w:spacing w:after="0" w:line="360" w:lineRule="auto"/>
        <w:jc w:val="both"/>
        <w:rPr/>
      </w:pPr>
      <w:r w:rsidDel="00000000" w:rsidR="00000000" w:rsidRPr="00000000">
        <w:rPr>
          <w:rtl w:val="0"/>
        </w:rPr>
        <w:t xml:space="preserve">14. La empresa denunciante manifestó que la privación de la energía eléctrica en la zona de la Av. La Marina le ocasionaba un perjuicio, sin embargo, fluye del expediente que Napsa, ante la negativa de Edelnor no tramitó denuncia o queja alguna frente a OSINERG, la cual estaría habilitada por su propio Reglamento y que, por lo expuesto, sería la encargada de solucionar las controversias existentes entre las empresas concesionarias y los clientes regulados que se encuentran en la zona de concesión.</w:t>
      </w:r>
    </w:p>
    <w:p w:rsidR="00000000" w:rsidDel="00000000" w:rsidP="00000000" w:rsidRDefault="00000000" w:rsidRPr="00000000" w14:paraId="00000025">
      <w:pPr>
        <w:widowControl w:val="0"/>
        <w:spacing w:after="0" w:line="360" w:lineRule="auto"/>
        <w:jc w:val="both"/>
        <w:rPr/>
      </w:pPr>
      <w:r w:rsidDel="00000000" w:rsidR="00000000" w:rsidRPr="00000000">
        <w:rPr>
          <w:rtl w:val="0"/>
        </w:rPr>
        <w:t xml:space="preserve">15. En consecuencia, tomando en cuenta lo anteriormente expuesto, la empresa de distribución eléctrica ostenta un monopolio geográfico dado que no es posible la entrada de otras empresas que provean de energía a los clientes regulados ubicados dentro del área de concesión. El Estado, por tanto, ha previsto regular la obligación de proveer energía a clientes regulados, considerando en principio, que toda solicitud de energía debe ser abastecida, siendo éste un tema que escapa al análisis de la justificación de la negativa o de la existencia de daños al mercado producto de una negativa, todos ellos temas que deben ser evaluados en un análisis de competencia. Simplemente, el Estado ha realizado ese análisis y ha decidido que al menos para los clientes regulados es preferible imponer una obligación general de abastecimiento.</w:t>
      </w:r>
    </w:p>
    <w:p w:rsidR="00000000" w:rsidDel="00000000" w:rsidP="00000000" w:rsidRDefault="00000000" w:rsidRPr="00000000" w14:paraId="00000026">
      <w:pPr>
        <w:widowControl w:val="0"/>
        <w:spacing w:after="0" w:line="360" w:lineRule="auto"/>
        <w:jc w:val="both"/>
        <w:rPr/>
      </w:pPr>
      <w:r w:rsidDel="00000000" w:rsidR="00000000" w:rsidRPr="00000000">
        <w:rPr>
          <w:rtl w:val="0"/>
        </w:rPr>
        <w:t xml:space="preserve">16. En tal sentido, bastaría con que la denunciante acuda a OSINERG para exigir el cumplimiento de una obligación legalmente establecida y sea esta autoridad la que resuelva conforme a Ley.</w:t>
      </w:r>
    </w:p>
    <w:p w:rsidR="00000000" w:rsidDel="00000000" w:rsidP="00000000" w:rsidRDefault="00000000" w:rsidRPr="00000000" w14:paraId="00000027">
      <w:pPr>
        <w:widowControl w:val="0"/>
        <w:spacing w:after="0" w:line="360" w:lineRule="auto"/>
        <w:jc w:val="both"/>
        <w:rPr/>
      </w:pPr>
      <w:r w:rsidDel="00000000" w:rsidR="00000000" w:rsidRPr="00000000">
        <w:rPr>
          <w:rtl w:val="0"/>
        </w:rPr>
        <w:t xml:space="preserve">17. En consecuencia, al estado del expediente, existen elementos suficientes que acreditan </w:t>
      </w:r>
    </w:p>
    <w:p w:rsidR="00000000" w:rsidDel="00000000" w:rsidP="00000000" w:rsidRDefault="00000000" w:rsidRPr="00000000" w14:paraId="00000028">
      <w:pPr>
        <w:widowControl w:val="0"/>
        <w:spacing w:after="0" w:line="360" w:lineRule="auto"/>
        <w:jc w:val="both"/>
        <w:rPr/>
      </w:pPr>
      <w:r w:rsidDel="00000000" w:rsidR="00000000" w:rsidRPr="00000000">
        <w:rPr>
          <w:rtl w:val="0"/>
        </w:rPr>
        <w:t xml:space="preserve">que la Comisión de Libre Competencia del INDECOPI, no es la entidad encargada de pronunciarse sobre el presente caso.</w:t>
      </w:r>
    </w:p>
    <w:p w:rsidR="00000000" w:rsidDel="00000000" w:rsidP="00000000" w:rsidRDefault="00000000" w:rsidRPr="00000000" w14:paraId="00000029">
      <w:pPr>
        <w:widowControl w:val="0"/>
        <w:spacing w:after="0" w:line="360" w:lineRule="auto"/>
        <w:jc w:val="both"/>
        <w:rPr/>
      </w:pPr>
      <w:r w:rsidDel="00000000" w:rsidR="00000000" w:rsidRPr="00000000">
        <w:rPr>
          <w:rtl w:val="0"/>
        </w:rPr>
        <w:t xml:space="preserve">18. Por otro lado, al no ser la Comisión, la instancia competente para pronunciarse sobre la denuncia planteada, es necesario declarar la nulidad de la Resolución N° 001-2002- CLC/INDECOPI, que declara admisible el procedimiento, a fin de evitar caer en el supuesto de nulidad de los actos administrativos, contemplados en el artículo 10 de la Ley 274448.</w:t>
      </w:r>
    </w:p>
    <w:p w:rsidR="00000000" w:rsidDel="00000000" w:rsidP="00000000" w:rsidRDefault="00000000" w:rsidRPr="00000000" w14:paraId="0000002A">
      <w:pPr>
        <w:widowControl w:val="0"/>
        <w:spacing w:after="0" w:line="360" w:lineRule="auto"/>
        <w:jc w:val="both"/>
        <w:rPr/>
      </w:pPr>
      <w:r w:rsidDel="00000000" w:rsidR="00000000" w:rsidRPr="00000000">
        <w:rPr>
          <w:rtl w:val="0"/>
        </w:rPr>
        <w:t xml:space="preserve">Inicio página 5</w:t>
      </w:r>
    </w:p>
    <w:p w:rsidR="00000000" w:rsidDel="00000000" w:rsidP="00000000" w:rsidRDefault="00000000" w:rsidRPr="00000000" w14:paraId="0000002B">
      <w:pPr>
        <w:widowControl w:val="0"/>
        <w:spacing w:after="0" w:line="360" w:lineRule="auto"/>
        <w:jc w:val="both"/>
        <w:rPr/>
      </w:pPr>
      <w:r w:rsidDel="00000000" w:rsidR="00000000" w:rsidRPr="00000000">
        <w:rPr>
          <w:rtl w:val="0"/>
        </w:rPr>
        <w:t xml:space="preserve">19. La Comisión está en la capacidad de declarar su incompetencia desde el momento en que ésta es apreciada, o a solicitud de los administrados según la Ley 274449. La Directiva 002-2001/TRI-INDECOPI, igualmente establece que la Comisión puede declarar la nulidad de sus propios actos en aquellos supuestos en los que no se pronuncie sobre el fondo de la materia, tal como se aprecia en el presente informe10.</w:t>
      </w:r>
    </w:p>
    <w:p w:rsidR="00000000" w:rsidDel="00000000" w:rsidP="00000000" w:rsidRDefault="00000000" w:rsidRPr="00000000" w14:paraId="0000002C">
      <w:pPr>
        <w:widowControl w:val="0"/>
        <w:spacing w:after="0" w:line="360" w:lineRule="auto"/>
        <w:jc w:val="both"/>
        <w:rPr/>
      </w:pPr>
      <w:r w:rsidDel="00000000" w:rsidR="00000000" w:rsidRPr="00000000">
        <w:rPr>
          <w:rtl w:val="0"/>
        </w:rPr>
        <w:t xml:space="preserve">Estando en lo previsto en la Constitución Política del Perú, en el Decreto Legislativo 701, modificado por el Decreto Legislativo 807, la Ley 27444, el Decreto Supremo N° 054-2001- PCM, la Comisión de Libre Competencia, en su sesión del día 13 de marzo del 2002;</w:t>
      </w:r>
    </w:p>
    <w:p w:rsidR="00000000" w:rsidDel="00000000" w:rsidP="00000000" w:rsidRDefault="00000000" w:rsidRPr="00000000" w14:paraId="0000002D">
      <w:pPr>
        <w:widowControl w:val="0"/>
        <w:spacing w:after="0" w:line="360" w:lineRule="auto"/>
        <w:jc w:val="both"/>
        <w:rPr/>
      </w:pPr>
      <w:r w:rsidDel="00000000" w:rsidR="00000000" w:rsidRPr="00000000">
        <w:rPr>
          <w:rtl w:val="0"/>
        </w:rPr>
        <w:t xml:space="preserve">RESUELVE</w:t>
      </w:r>
    </w:p>
    <w:p w:rsidR="00000000" w:rsidDel="00000000" w:rsidP="00000000" w:rsidRDefault="00000000" w:rsidRPr="00000000" w14:paraId="0000002E">
      <w:pPr>
        <w:widowControl w:val="0"/>
        <w:spacing w:after="0" w:line="360" w:lineRule="auto"/>
        <w:jc w:val="both"/>
        <w:rPr/>
      </w:pPr>
      <w:r w:rsidDel="00000000" w:rsidR="00000000" w:rsidRPr="00000000">
        <w:rPr>
          <w:rtl w:val="0"/>
        </w:rPr>
        <w:t xml:space="preserve">Primero: Declarar la incompetencia de la Comisión de Libre Competencia, toda vez que, conforme al análisis planteado, la entidad competente sería OSINERG.</w:t>
      </w:r>
    </w:p>
    <w:p w:rsidR="00000000" w:rsidDel="00000000" w:rsidP="00000000" w:rsidRDefault="00000000" w:rsidRPr="00000000" w14:paraId="0000002F">
      <w:pPr>
        <w:widowControl w:val="0"/>
        <w:spacing w:after="0" w:line="360" w:lineRule="auto"/>
        <w:jc w:val="both"/>
        <w:rPr/>
      </w:pPr>
      <w:r w:rsidDel="00000000" w:rsidR="00000000" w:rsidRPr="00000000">
        <w:rPr>
          <w:rtl w:val="0"/>
        </w:rPr>
        <w:t xml:space="preserve">Segundo: Declarar nula la resolución que admitió a trámite el presente caso y remitir todo lo </w:t>
      </w:r>
    </w:p>
    <w:p w:rsidR="00000000" w:rsidDel="00000000" w:rsidP="00000000" w:rsidRDefault="00000000" w:rsidRPr="00000000" w14:paraId="00000030">
      <w:pPr>
        <w:widowControl w:val="0"/>
        <w:spacing w:after="0" w:line="360" w:lineRule="auto"/>
        <w:jc w:val="both"/>
        <w:rPr/>
      </w:pPr>
      <w:r w:rsidDel="00000000" w:rsidR="00000000" w:rsidRPr="00000000">
        <w:rPr>
          <w:rtl w:val="0"/>
        </w:rPr>
        <w:t xml:space="preserve">actuado a OSINERG.</w:t>
      </w:r>
    </w:p>
    <w:p w:rsidR="00000000" w:rsidDel="00000000" w:rsidP="00000000" w:rsidRDefault="00000000" w:rsidRPr="00000000" w14:paraId="00000031">
      <w:pPr>
        <w:widowControl w:val="0"/>
        <w:spacing w:after="0" w:line="360" w:lineRule="auto"/>
        <w:jc w:val="both"/>
        <w:rPr/>
      </w:pPr>
      <w:r w:rsidDel="00000000" w:rsidR="00000000" w:rsidRPr="00000000">
        <w:rPr>
          <w:rtl w:val="0"/>
        </w:rPr>
        <w:t xml:space="preserve">Con el voto favorable de los señores miembros: Carlos Adrianzén Cabrera, Geoffrey Cannock Torero, Alfredo Ferrero Diez-Canseco, César Guzmán-Barrón Sobrevilla, y José Luis Sardón de Taboada.</w:t>
      </w:r>
    </w:p>
    <w:p w:rsidR="00000000" w:rsidDel="00000000" w:rsidP="00000000" w:rsidRDefault="00000000" w:rsidRPr="00000000" w14:paraId="00000032">
      <w:pPr>
        <w:widowControl w:val="0"/>
        <w:spacing w:after="0" w:line="360" w:lineRule="auto"/>
        <w:jc w:val="both"/>
        <w:rPr/>
      </w:pPr>
      <w:r w:rsidDel="00000000" w:rsidR="00000000" w:rsidRPr="00000000">
        <w:rPr>
          <w:rtl w:val="0"/>
        </w:rPr>
        <w:t xml:space="preserve">CÉSAR GUZMÁN-BARRÓN SOBREVILLA</w:t>
      </w:r>
    </w:p>
    <w:p w:rsidR="00000000" w:rsidDel="00000000" w:rsidP="00000000" w:rsidRDefault="00000000" w:rsidRPr="00000000" w14:paraId="00000033">
      <w:pPr>
        <w:widowControl w:val="0"/>
        <w:spacing w:after="0" w:line="360" w:lineRule="auto"/>
        <w:jc w:val="both"/>
        <w:rPr/>
      </w:pPr>
      <w:r w:rsidDel="00000000" w:rsidR="00000000" w:rsidRPr="00000000">
        <w:rPr>
          <w:rtl w:val="0"/>
        </w:rPr>
        <w:t xml:space="preserve">Presidente</w:t>
      </w:r>
    </w:p>
    <w:p w:rsidR="00000000" w:rsidDel="00000000" w:rsidP="00000000" w:rsidRDefault="00000000" w:rsidRPr="00000000" w14:paraId="00000034">
      <w:pPr>
        <w:widowControl w:val="0"/>
        <w:spacing w:after="0" w:line="360" w:lineRule="auto"/>
        <w:jc w:val="both"/>
        <w:rPr/>
      </w:pPr>
      <w:r w:rsidDel="00000000" w:rsidR="00000000" w:rsidRPr="00000000">
        <w:rPr>
          <w:rtl w:val="0"/>
        </w:rPr>
      </w:r>
    </w:p>
    <w:p w:rsidR="00000000" w:rsidDel="00000000" w:rsidP="00000000" w:rsidRDefault="00000000" w:rsidRPr="00000000" w14:paraId="00000035">
      <w:pPr>
        <w:widowControl w:val="0"/>
        <w:spacing w:after="0" w:line="360" w:lineRule="auto"/>
        <w:jc w:val="both"/>
        <w:rPr/>
      </w:pPr>
      <w:r w:rsidDel="00000000" w:rsidR="00000000" w:rsidRPr="00000000">
        <w:rPr>
          <w:rtl w:val="0"/>
        </w:rPr>
      </w:r>
    </w:p>
    <w:p w:rsidR="00000000" w:rsidDel="00000000" w:rsidP="00000000" w:rsidRDefault="00000000" w:rsidRPr="00000000" w14:paraId="00000036">
      <w:pPr>
        <w:widowControl w:val="0"/>
        <w:spacing w:after="0" w:line="360" w:lineRule="auto"/>
        <w:jc w:val="both"/>
        <w:rPr/>
      </w:pPr>
      <w:r w:rsidDel="00000000" w:rsidR="00000000" w:rsidRPr="00000000">
        <w:rPr>
          <w:rtl w:val="0"/>
        </w:rPr>
      </w:r>
    </w:p>
    <w:sectPr>
      <w:pgSz w:h="16838" w:w="11906" w:orient="portrait"/>
      <w:pgMar w:bottom="1417" w:top="1417" w:left="1701" w:right="1701"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ES"/>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VOJf6Sa86uq6Bc1rVn1tM1wzR3w==">CgMxLjAyDmgueTZmMmE4MzNkeHB4Mg5oLmYzdHdzemZmNThrYTIIaC5namRneHM4AHIhMTJOeHFXSnpfckM1Y05UVjVwTW80RW84QUJmYXpiUUN4</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2024-03-22T18:07:00Z</dcterms:created>
  <dc:creator>Oswaldo Martin Reyes Torres</dc:creator>
</cp:coreProperties>
</file>