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color w:val="222222"/>
          <w:highlight w:val="white"/>
        </w:rPr>
      </w:pPr>
      <w:bookmarkStart w:colFirst="0" w:colLast="0" w:name="_heading=h.w253icsr3f7u" w:id="0"/>
      <w:bookmarkEnd w:id="0"/>
      <w:r w:rsidDel="00000000" w:rsidR="00000000" w:rsidRPr="00000000">
        <w:rPr>
          <w:color w:val="222222"/>
          <w:highlight w:val="white"/>
          <w:rtl w:val="0"/>
        </w:rPr>
        <w:t xml:space="preserve">Sokol, D. (2020). La maldición antimonopolio del problema de la grandeza. Michigan Law Review, 118(6),  pp.1259-1282.  </w:t>
      </w:r>
    </w:p>
    <w:p w:rsidR="00000000" w:rsidDel="00000000" w:rsidP="00000000" w:rsidRDefault="00000000" w:rsidRPr="00000000" w14:paraId="00000002">
      <w:pPr>
        <w:spacing w:line="360" w:lineRule="auto"/>
        <w:jc w:val="both"/>
        <w:rPr>
          <w:b w:val="1"/>
          <w:color w:val="222222"/>
          <w:highlight w:val="white"/>
        </w:rPr>
      </w:pPr>
      <w:r w:rsidDel="00000000" w:rsidR="00000000" w:rsidRPr="00000000">
        <w:rPr>
          <w:b w:val="1"/>
          <w:color w:val="222222"/>
          <w:highlight w:val="white"/>
          <w:rtl w:val="0"/>
        </w:rPr>
        <w:t xml:space="preserve">Inicio página 1259</w:t>
      </w:r>
    </w:p>
    <w:p w:rsidR="00000000" w:rsidDel="00000000" w:rsidP="00000000" w:rsidRDefault="00000000" w:rsidRPr="00000000" w14:paraId="00000003">
      <w:pPr>
        <w:spacing w:line="360" w:lineRule="auto"/>
        <w:jc w:val="both"/>
        <w:rPr>
          <w:color w:val="222222"/>
          <w:highlight w:val="white"/>
        </w:rPr>
      </w:pPr>
      <w:r w:rsidDel="00000000" w:rsidR="00000000" w:rsidRPr="00000000">
        <w:rPr>
          <w:color w:val="222222"/>
          <w:highlight w:val="white"/>
          <w:rtl w:val="0"/>
        </w:rPr>
        <w:t xml:space="preserve">El problema de la “maldición de grandeza” de las leyes antimonopolio</w:t>
      </w:r>
    </w:p>
    <w:p w:rsidR="00000000" w:rsidDel="00000000" w:rsidP="00000000" w:rsidRDefault="00000000" w:rsidRPr="00000000" w14:paraId="00000004">
      <w:pPr>
        <w:spacing w:line="360" w:lineRule="auto"/>
        <w:jc w:val="both"/>
        <w:rPr>
          <w:color w:val="222222"/>
          <w:highlight w:val="white"/>
        </w:rPr>
      </w:pPr>
      <w:r w:rsidDel="00000000" w:rsidR="00000000" w:rsidRPr="00000000">
        <w:rPr>
          <w:color w:val="222222"/>
          <w:highlight w:val="white"/>
          <w:rtl w:val="0"/>
        </w:rPr>
        <w:t xml:space="preserve">D. Daniel Sokol</w:t>
      </w:r>
    </w:p>
    <w:p w:rsidR="00000000" w:rsidDel="00000000" w:rsidP="00000000" w:rsidRDefault="00000000" w:rsidRPr="00000000" w14:paraId="00000005">
      <w:pPr>
        <w:spacing w:line="360" w:lineRule="auto"/>
        <w:jc w:val="both"/>
        <w:rPr>
          <w:color w:val="222222"/>
          <w:highlight w:val="white"/>
        </w:rPr>
      </w:pPr>
      <w:r w:rsidDel="00000000" w:rsidR="00000000" w:rsidRPr="00000000">
        <w:rPr>
          <w:color w:val="222222"/>
          <w:highlight w:val="white"/>
          <w:rtl w:val="0"/>
        </w:rPr>
        <w:t xml:space="preserve">INTRODUCCIÓN</w:t>
      </w:r>
    </w:p>
    <w:p w:rsidR="00000000" w:rsidDel="00000000" w:rsidP="00000000" w:rsidRDefault="00000000" w:rsidRPr="00000000" w14:paraId="00000006">
      <w:pPr>
        <w:spacing w:line="360" w:lineRule="auto"/>
        <w:jc w:val="both"/>
        <w:rPr>
          <w:color w:val="222222"/>
          <w:highlight w:val="white"/>
        </w:rPr>
      </w:pPr>
      <w:r w:rsidDel="00000000" w:rsidR="00000000" w:rsidRPr="00000000">
        <w:rPr>
          <w:color w:val="222222"/>
          <w:highlight w:val="white"/>
          <w:rtl w:val="0"/>
        </w:rPr>
        <w:t xml:space="preserve">Tim Wu*1 es el divulgador académico más importante de los debates sobre derecho y tecnología*2 y es el líder intelectual del movimiento antimonopolio neobrandeisiano. Ha llevado la lucha antimonopolio desde un tema técnico de interés sólo para los profesionales y académicos antimonopolio al frente de las discusiones políticas en todo el mundo. Su capacidad para ayudar a dar forma a las políticas es impresionante. Es un escritor inteligente y hermoso: una combinación eficaz. Simplemente por hacer que las leyes antimonopolio sean relevantes para la población en general, Wu merece crédito.</w:t>
      </w:r>
    </w:p>
    <w:p w:rsidR="00000000" w:rsidDel="00000000" w:rsidP="00000000" w:rsidRDefault="00000000" w:rsidRPr="00000000" w14:paraId="00000007">
      <w:pPr>
        <w:spacing w:line="360" w:lineRule="auto"/>
        <w:jc w:val="both"/>
        <w:rPr>
          <w:color w:val="222222"/>
          <w:highlight w:val="white"/>
        </w:rPr>
      </w:pPr>
      <w:r w:rsidDel="00000000" w:rsidR="00000000" w:rsidRPr="00000000">
        <w:rPr>
          <w:color w:val="222222"/>
          <w:highlight w:val="white"/>
          <w:rtl w:val="0"/>
        </w:rPr>
        <w:t xml:space="preserve">El libro más reciente de Wu, The Curse of Bigness: Antitrust in the Gilded Age, es un intento de replantear los debates antimonopolio contemporáneos devolviendo el antimonopolio a sus raíces más populistas. Dadas las implicaciones globales de sus ideas y propuestas políticas (incluida la ruptura de plataformas tecnológicas) para muchas de las grandes corporaciones que aborda, La maldición de la grandeza ofrece ideas profundas sobre cómo deberían organizarse la sociedad y los negocios.</w:t>
      </w:r>
    </w:p>
    <w:p w:rsidR="00000000" w:rsidDel="00000000" w:rsidP="00000000" w:rsidRDefault="00000000" w:rsidRPr="00000000" w14:paraId="00000008">
      <w:pPr>
        <w:spacing w:line="360" w:lineRule="auto"/>
        <w:jc w:val="both"/>
        <w:rPr>
          <w:color w:val="222222"/>
          <w:highlight w:val="white"/>
        </w:rPr>
      </w:pPr>
      <w:r w:rsidDel="00000000" w:rsidR="00000000" w:rsidRPr="00000000">
        <w:rPr>
          <w:color w:val="222222"/>
          <w:highlight w:val="white"/>
          <w:rtl w:val="0"/>
        </w:rPr>
        <w:t xml:space="preserve">La antimonopolio y el escrutinio de las grandes plataformas tecnológicas como Amazon y Facebook son temas candentes en los círculos políticos. Para críticos como Wu, la creciente concentración del poder estadounidense y el auge de las plataformas tecnológicas son nada menos que una amenaza para la democracia estadounidense (págs. 16, 55). Wu considera que el crecimiento actual de las grandes empresas tecnológicas es el resultado de una generación de mala aplicación de la legislación antimonopolio y se remonta a una era anterior de importante aplicación de las leyes antimonopolio (págs. 17-21).</w:t>
      </w:r>
    </w:p>
    <w:p w:rsidR="00000000" w:rsidDel="00000000" w:rsidP="00000000" w:rsidRDefault="00000000" w:rsidRPr="00000000" w14:paraId="00000009">
      <w:pPr>
        <w:spacing w:line="360" w:lineRule="auto"/>
        <w:jc w:val="both"/>
        <w:rPr>
          <w:color w:val="222222"/>
          <w:highlight w:val="white"/>
        </w:rPr>
      </w:pPr>
      <w:r w:rsidDel="00000000" w:rsidR="00000000" w:rsidRPr="00000000">
        <w:rPr>
          <w:color w:val="222222"/>
          <w:highlight w:val="white"/>
          <w:rtl w:val="0"/>
        </w:rPr>
        <w:t xml:space="preserve">La obra de Wu es poderosa y provocativa. Señala varios puntos importantes sobre cómo pensar en el cuerpo de leyes antimonopolio. Wu abandonaría el actual marco legal antimonopolio. Sin embargo, aunque la ley antimonopolio ha cometido algunos errores tácticos a lo largo de cuarenta años, la empresa antimonopolio no está rota y necesita una modernización total. Además, las prescripciones políticas de Wu no son sensibles a cuestiones de administrabilidad. La ley antimonopolio es similar a la común.</w:t>
      </w:r>
    </w:p>
    <w:p w:rsidR="00000000" w:rsidDel="00000000" w:rsidP="00000000" w:rsidRDefault="00000000" w:rsidRPr="00000000" w14:paraId="0000000A">
      <w:pPr>
        <w:spacing w:line="360" w:lineRule="auto"/>
        <w:jc w:val="both"/>
        <w:rPr>
          <w:b w:val="1"/>
          <w:color w:val="222222"/>
          <w:highlight w:val="white"/>
        </w:rPr>
      </w:pPr>
      <w:r w:rsidDel="00000000" w:rsidR="00000000" w:rsidRPr="00000000">
        <w:rPr>
          <w:b w:val="1"/>
          <w:color w:val="222222"/>
          <w:highlight w:val="white"/>
          <w:rtl w:val="0"/>
        </w:rPr>
        <w:t xml:space="preserve">Inicio página 1260</w:t>
      </w:r>
    </w:p>
    <w:p w:rsidR="00000000" w:rsidDel="00000000" w:rsidP="00000000" w:rsidRDefault="00000000" w:rsidRPr="00000000" w14:paraId="0000000B">
      <w:pPr>
        <w:spacing w:line="360" w:lineRule="auto"/>
        <w:jc w:val="both"/>
        <w:rPr>
          <w:color w:val="222222"/>
          <w:highlight w:val="white"/>
        </w:rPr>
      </w:pPr>
      <w:r w:rsidDel="00000000" w:rsidR="00000000" w:rsidRPr="00000000">
        <w:rPr>
          <w:color w:val="222222"/>
          <w:highlight w:val="white"/>
          <w:rtl w:val="0"/>
        </w:rPr>
        <w:t xml:space="preserve">ley.*3 El Congreso ha decidido deliberadamente no realizar cambios significativos en la estructura fundamental de las leyes antimonopolio, pero ha dejado en manos de los tribunales llenar los vacíos. Dada esta realidad, las críticas más constructivas se dirigirían a cómo cambiar la doctrina de manera que puedan promover algunos de los cambios que busca Wu.*4</w:t>
      </w:r>
    </w:p>
    <w:p w:rsidR="00000000" w:rsidDel="00000000" w:rsidP="00000000" w:rsidRDefault="00000000" w:rsidRPr="00000000" w14:paraId="0000000C">
      <w:pPr>
        <w:spacing w:line="360" w:lineRule="auto"/>
        <w:jc w:val="both"/>
        <w:rPr>
          <w:color w:val="222222"/>
          <w:highlight w:val="white"/>
        </w:rPr>
      </w:pPr>
      <w:r w:rsidDel="00000000" w:rsidR="00000000" w:rsidRPr="00000000">
        <w:rPr>
          <w:color w:val="222222"/>
          <w:highlight w:val="white"/>
          <w:rtl w:val="0"/>
        </w:rPr>
        <w:t xml:space="preserve">La primera parte de esta revisión resume las principales afirmaciones de Wu. Luego destaca algunas de sus críticas en cuanto a la “grandeza”, los múltiples objetivos de las leyes antimonopolio y las oportunidades perdidas en cuanto a casos que deberían o deberían haberse presentado, como contra empresas de tecnología. Algunas de las críticas de Wu son acertadas al identificar oportunidades perdidas, como una serie de fusiones horizontales que deberían haber sido cuestionadas. Lo que sufre el libro de Wu es cuando subestima la estructura institucional de la ley antimonopolio, resta importancia a lo que hace bien la ley antimonopolio como una cuestión sustantiva y analiza erróneamente las plataformas antimonopolio y tecnológicas.</w:t>
      </w:r>
    </w:p>
    <w:p w:rsidR="00000000" w:rsidDel="00000000" w:rsidP="00000000" w:rsidRDefault="00000000" w:rsidRPr="00000000" w14:paraId="0000000D">
      <w:pPr>
        <w:spacing w:line="360" w:lineRule="auto"/>
        <w:jc w:val="both"/>
        <w:rPr>
          <w:color w:val="222222"/>
          <w:highlight w:val="white"/>
        </w:rPr>
      </w:pPr>
      <w:r w:rsidDel="00000000" w:rsidR="00000000" w:rsidRPr="00000000">
        <w:rPr>
          <w:color w:val="222222"/>
          <w:highlight w:val="white"/>
          <w:rtl w:val="0"/>
        </w:rPr>
        <w:t xml:space="preserve">I. ¿Antimonopolio político?</w:t>
      </w:r>
    </w:p>
    <w:p w:rsidR="00000000" w:rsidDel="00000000" w:rsidP="00000000" w:rsidRDefault="00000000" w:rsidRPr="00000000" w14:paraId="0000000E">
      <w:pPr>
        <w:spacing w:line="360" w:lineRule="auto"/>
        <w:jc w:val="both"/>
        <w:rPr>
          <w:color w:val="222222"/>
          <w:highlight w:val="white"/>
        </w:rPr>
      </w:pPr>
      <w:r w:rsidDel="00000000" w:rsidR="00000000" w:rsidRPr="00000000">
        <w:rPr>
          <w:color w:val="222222"/>
          <w:highlight w:val="white"/>
          <w:rtl w:val="0"/>
        </w:rPr>
        <w:t xml:space="preserve">La maldición de la grandeza es un desafío fundamental para la “Escuela de Chicago” y su enfoque del análisis de la ley antimonopolio que ha dominado a Estados Unidos desde los años 1970. Robert Pitofsky escribió un importante artículo en 1979 que orienta el análisis de Wu. Publicado en el famoso número del simposio de la Revista de Derecho de la Universidad de Pensilvania, el artículo señalaba el fin no sólo del populismo sino también del paradigma estructura-conducta-desempeño.*5 Pitofsky reprendió a los académicos antimonopolio por “persuadir a los tribunales para que adopten un enfoque exclusivamente económico”. a cuestiones antimonopolio”. *6 Sostuvo que “[e]s mala historia, mala política y mala ley excluir ciertos valores políticos al interpretar las leyes antimonopolio”. *7 Pitofsky explicó los valores políticos de una manera populista al señalar:</w:t>
      </w:r>
    </w:p>
    <w:p w:rsidR="00000000" w:rsidDel="00000000" w:rsidP="00000000" w:rsidRDefault="00000000" w:rsidRPr="00000000" w14:paraId="0000000F">
      <w:pPr>
        <w:spacing w:line="360" w:lineRule="auto"/>
        <w:jc w:val="both"/>
        <w:rPr>
          <w:color w:val="222222"/>
          <w:highlight w:val="white"/>
        </w:rPr>
      </w:pPr>
      <w:r w:rsidDel="00000000" w:rsidR="00000000" w:rsidRPr="00000000">
        <w:rPr>
          <w:color w:val="222222"/>
          <w:highlight w:val="white"/>
          <w:rtl w:val="0"/>
        </w:rPr>
        <w:t xml:space="preserve">Si se permite que el sector de libre mercado de la economía se desarrolle bajo reglas antimonopolio que son ciegas a todo excepto a las preocupaciones económicas, el resultado probable será una economía tan dominada por unos pocos gigantes corporativos que será imposible que el Estado no juegue. un papel más intrusivo en los asuntos económicos.*8</w:t>
      </w:r>
    </w:p>
    <w:p w:rsidR="00000000" w:rsidDel="00000000" w:rsidP="00000000" w:rsidRDefault="00000000" w:rsidRPr="00000000" w14:paraId="00000010">
      <w:pPr>
        <w:spacing w:line="360" w:lineRule="auto"/>
        <w:jc w:val="both"/>
        <w:rPr>
          <w:color w:val="222222"/>
          <w:highlight w:val="white"/>
        </w:rPr>
      </w:pPr>
      <w:r w:rsidDel="00000000" w:rsidR="00000000" w:rsidRPr="00000000">
        <w:rPr>
          <w:color w:val="222222"/>
          <w:highlight w:val="white"/>
          <w:rtl w:val="0"/>
        </w:rPr>
        <w:t xml:space="preserve">El libro de Wu es parte de este legado. Wu es un escritor poderoso y explora temas similares con gran pasión y resolución. Por ejemplo, escribe, “[el antimonopolio] ataca la causa fundamental del poder político privado: la concentración económica que facilita la acción política” (p. 23). En otro lugar, al describir</w:t>
      </w:r>
    </w:p>
    <w:p w:rsidR="00000000" w:rsidDel="00000000" w:rsidP="00000000" w:rsidRDefault="00000000" w:rsidRPr="00000000" w14:paraId="00000011">
      <w:pPr>
        <w:spacing w:line="360" w:lineRule="auto"/>
        <w:jc w:val="both"/>
        <w:rPr>
          <w:b w:val="1"/>
          <w:color w:val="222222"/>
          <w:highlight w:val="white"/>
        </w:rPr>
      </w:pPr>
      <w:r w:rsidDel="00000000" w:rsidR="00000000" w:rsidRPr="00000000">
        <w:rPr>
          <w:b w:val="1"/>
          <w:color w:val="222222"/>
          <w:highlight w:val="white"/>
          <w:rtl w:val="0"/>
        </w:rPr>
        <w:t xml:space="preserve">Inicio página 1261</w:t>
      </w:r>
    </w:p>
    <w:p w:rsidR="00000000" w:rsidDel="00000000" w:rsidP="00000000" w:rsidRDefault="00000000" w:rsidRPr="00000000" w14:paraId="00000012">
      <w:pPr>
        <w:spacing w:line="360" w:lineRule="auto"/>
        <w:jc w:val="both"/>
        <w:rPr>
          <w:color w:val="222222"/>
          <w:highlight w:val="white"/>
        </w:rPr>
      </w:pPr>
      <w:r w:rsidDel="00000000" w:rsidR="00000000" w:rsidRPr="00000000">
        <w:rPr>
          <w:color w:val="222222"/>
          <w:highlight w:val="white"/>
          <w:rtl w:val="0"/>
        </w:rPr>
        <w:t xml:space="preserve">En la agenda neobrandeisiana, explica, “estas sugerencias nos ayudarían a regresar a una visión económica que valora el dinamismo y las posibilidades y, en última instancia, armoniza la estructura económica con una sociedad democrática” (p. 138).</w:t>
      </w:r>
    </w:p>
    <w:p w:rsidR="00000000" w:rsidDel="00000000" w:rsidP="00000000" w:rsidRDefault="00000000" w:rsidRPr="00000000" w14:paraId="00000013">
      <w:pPr>
        <w:spacing w:line="360" w:lineRule="auto"/>
        <w:jc w:val="both"/>
        <w:rPr>
          <w:color w:val="222222"/>
          <w:highlight w:val="white"/>
        </w:rPr>
      </w:pPr>
      <w:r w:rsidDel="00000000" w:rsidR="00000000" w:rsidRPr="00000000">
        <w:rPr>
          <w:color w:val="222222"/>
          <w:highlight w:val="white"/>
          <w:rtl w:val="0"/>
        </w:rPr>
        <w:t xml:space="preserve">La principal idea de Wu es sugerir que es necesario que haya un conjunto más amplio de objetivos antimonopolio más allá del bienestar del consumidor para abordar este impulso populista.*9 Cómo se ve esto en la práctica no es algo que Wu dedique mucho tiempo a desarrollar.</w:t>
      </w:r>
    </w:p>
    <w:p w:rsidR="00000000" w:rsidDel="00000000" w:rsidP="00000000" w:rsidRDefault="00000000" w:rsidRPr="00000000" w14:paraId="00000014">
      <w:pPr>
        <w:spacing w:line="360" w:lineRule="auto"/>
        <w:jc w:val="both"/>
        <w:rPr>
          <w:color w:val="222222"/>
          <w:highlight w:val="white"/>
        </w:rPr>
      </w:pPr>
      <w:r w:rsidDel="00000000" w:rsidR="00000000" w:rsidRPr="00000000">
        <w:rPr>
          <w:color w:val="222222"/>
          <w:highlight w:val="white"/>
          <w:rtl w:val="0"/>
        </w:rPr>
        <w:t xml:space="preserve">Inyectar compensaciones políticas en el ámbito antimonopolio puede tener repercusiones negativas. En un mundo de objetivos múltiples, el gobierno puede elegir ganadores y perdedores, y puede hacerlo teniendo en mente algo distinto al interés público.*10 Wu reemplazaría las leyes antimonopolio tal como las conocemos con un sistema regulatorio similar al que se encuentra en otras agencias administrativas. (un estándar de interés público con algún elemento de “justicia”, comentarios de la industria sobre fusiones, prohibición de fusiones de cierto tamaño, entre otras características) (págs. 127-39). Esta solución está sujeta a las mismas preocupaciones de captura que se encuentran en otras agencias y no abordaría adecuadamente las preocupaciones de Wu. Wu no proporciona un mecanismo para impedir que intereses especiales ejerzan presión para promover sus intereses por encima de los de los consumidores con un barniz de “justicia”. de hecho, los escritos anteriores de Wu en el contexto de las telecomunicaciones sugieren que la captura es un riesgo significativo.*11 La Ley RobinsonPatman, analizada en la Sección V, ilustra la locura de un sistema antimonopolio basado en el interés público.</w:t>
      </w:r>
    </w:p>
    <w:p w:rsidR="00000000" w:rsidDel="00000000" w:rsidP="00000000" w:rsidRDefault="00000000" w:rsidRPr="00000000" w14:paraId="00000015">
      <w:pPr>
        <w:spacing w:line="360" w:lineRule="auto"/>
        <w:jc w:val="both"/>
        <w:rPr>
          <w:color w:val="222222"/>
          <w:highlight w:val="white"/>
        </w:rPr>
      </w:pPr>
      <w:r w:rsidDel="00000000" w:rsidR="00000000" w:rsidRPr="00000000">
        <w:rPr>
          <w:color w:val="222222"/>
          <w:highlight w:val="white"/>
          <w:rtl w:val="0"/>
        </w:rPr>
        <w:t xml:space="preserve">Los académicos a menudo cambian su enfoque después de un período de práctica. Wu tuvo breves períodos en el gobierno durante la administración Obama, pero no ocupó un puesto de alto liderazgo con supervisión gerencial para ayudar a administrar una agencia. Tal posición podría haber hecho que Wu se centrara más en cuestiones de administrabilidad. Cuando Pitofsky presidió la FTC en la década de 1990, no adoptó una agenda populista ni abrazó objetivos múltiples como en sus escritos anteriores. Más bien, continuó con el marco económico establecido por administraciones republicanas y demócratas anteriores, y su mandato se considera una “edad de oro” del antimonopolio.*12 Ñor es el único Pitofsky que reelabora sus críticas.</w:t>
      </w:r>
    </w:p>
    <w:p w:rsidR="00000000" w:rsidDel="00000000" w:rsidP="00000000" w:rsidRDefault="00000000" w:rsidRPr="00000000" w14:paraId="00000016">
      <w:pPr>
        <w:spacing w:line="360" w:lineRule="auto"/>
        <w:jc w:val="both"/>
        <w:rPr>
          <w:b w:val="1"/>
          <w:color w:val="222222"/>
          <w:highlight w:val="white"/>
        </w:rPr>
      </w:pPr>
      <w:r w:rsidDel="00000000" w:rsidR="00000000" w:rsidRPr="00000000">
        <w:rPr>
          <w:b w:val="1"/>
          <w:color w:val="222222"/>
          <w:highlight w:val="white"/>
          <w:rtl w:val="0"/>
        </w:rPr>
        <w:t xml:space="preserve">Inicio página 1262</w:t>
      </w:r>
    </w:p>
    <w:p w:rsidR="00000000" w:rsidDel="00000000" w:rsidP="00000000" w:rsidRDefault="00000000" w:rsidRPr="00000000" w14:paraId="00000017">
      <w:pPr>
        <w:spacing w:line="360" w:lineRule="auto"/>
        <w:jc w:val="both"/>
        <w:rPr>
          <w:color w:val="222222"/>
          <w:highlight w:val="white"/>
        </w:rPr>
      </w:pPr>
      <w:r w:rsidDel="00000000" w:rsidR="00000000" w:rsidRPr="00000000">
        <w:rPr>
          <w:color w:val="222222"/>
          <w:highlight w:val="white"/>
          <w:rtl w:val="0"/>
        </w:rPr>
        <w:t xml:space="preserve">dentro de un marco económico y abandonando un enfoque más populista en materia antimonopolio. de hecho, los otros trabajos antimonopolio de Wu abarcan el análisis económico para guiar la lucha antimonopolio y no sugieren la necesidad de valores no económicos.*13 Esto sugiere la diferencia entre hacer pronunciamientos académicos y tener que crear un cambio real dadas las limitaciones institucionales cuando se entrega el poder.</w:t>
      </w:r>
    </w:p>
    <w:p w:rsidR="00000000" w:rsidDel="00000000" w:rsidP="00000000" w:rsidRDefault="00000000" w:rsidRPr="00000000" w14:paraId="00000018">
      <w:pPr>
        <w:spacing w:line="360" w:lineRule="auto"/>
        <w:jc w:val="both"/>
        <w:rPr>
          <w:color w:val="222222"/>
          <w:highlight w:val="white"/>
        </w:rPr>
      </w:pPr>
      <w:r w:rsidDel="00000000" w:rsidR="00000000" w:rsidRPr="00000000">
        <w:rPr>
          <w:color w:val="222222"/>
          <w:highlight w:val="white"/>
          <w:rtl w:val="0"/>
        </w:rPr>
        <w:t xml:space="preserve">Wu muestra matices con dos conjuntos de críticas. una es una crítica populista que Wu llama “neo-brandeisiana”, que cuestiona el objetivo singular basado en la eficiencia expresado explícita y repetidamente en la jurisprudencia antimonopolio de la Corte Suprema y practicado por las dos agencias antimonopolio (págs. 78-92). La segunda crítica está dentro de una tradición jurídica y económica, pero sugiere modificaciones a la doctrina basadas en fallas en los supuestos de la Escuela de Chicago (págs. 106-107).</w:t>
      </w:r>
    </w:p>
    <w:p w:rsidR="00000000" w:rsidDel="00000000" w:rsidP="00000000" w:rsidRDefault="00000000" w:rsidRPr="00000000" w14:paraId="00000019">
      <w:pPr>
        <w:spacing w:line="360" w:lineRule="auto"/>
        <w:jc w:val="both"/>
        <w:rPr>
          <w:color w:val="222222"/>
          <w:highlight w:val="white"/>
        </w:rPr>
      </w:pPr>
      <w:r w:rsidDel="00000000" w:rsidR="00000000" w:rsidRPr="00000000">
        <w:rPr>
          <w:color w:val="222222"/>
          <w:highlight w:val="white"/>
          <w:rtl w:val="0"/>
        </w:rPr>
        <w:t xml:space="preserve">Wu hace una contribución importante, a saber, que algunos supuestos básicos hechos por la Escuela de Chicago eran crudos o simplemente erróneos y que un mejor análisis económico basado en modelos más precisos y un trabajo empírico más informado ofrece algunos enfoques alternativos para hacer avanzar el antimonopolio. Articula adecuadamente que algunos supuestos de Chicago, basados en una economía demasiado simplista, pueden conducir a malos resultados (págs. 102-109).</w:t>
      </w:r>
    </w:p>
    <w:p w:rsidR="00000000" w:rsidDel="00000000" w:rsidP="00000000" w:rsidRDefault="00000000" w:rsidRPr="00000000" w14:paraId="0000001A">
      <w:pPr>
        <w:spacing w:line="360" w:lineRule="auto"/>
        <w:jc w:val="both"/>
        <w:rPr>
          <w:color w:val="222222"/>
          <w:highlight w:val="white"/>
        </w:rPr>
      </w:pPr>
      <w:r w:rsidDel="00000000" w:rsidR="00000000" w:rsidRPr="00000000">
        <w:rPr>
          <w:color w:val="222222"/>
          <w:highlight w:val="white"/>
          <w:rtl w:val="0"/>
        </w:rPr>
        <w:t xml:space="preserve">Pero Wu subestima la actual configuración institucional antimonopolio, en la que una mala doctrina podría transformarse en algo menos dañino. Como resultado de la configuración institucional actual, la legislación antimonopolio aborda relativamente bien cuestiones puramente antimonopolio, pero no tan bien otras cuestiones como la privacidad*14 o la regulación tradicional*15. Después de sugerir que la lucha contra la competencia debería centrarse en tales compensaciones, Wu no ofrece ideas sobre cómo abordar la compensación entre eficiencia y equidad inherente a una norma de interés público.*16 ¿Qué sería un conjunto administrable de casos para guiar el comportamiento empresarial futuro? ¿parece? ¿Cuál sería la norma jurídica viable? ¿Cuáles serían las cargas de la prueba y las presunciones? Sobre estas cuestiones, Wu no ofrece información detallada. Pero si la afirmación es que las leyes antimonopolio deben cambiar debido a las nuevas realidades en materia de concentración y tecnología, corresponde a quienes proponen cambios para ofrecer un sistema viable. La fortaleza del enfoque actual es cómo combina el análisis económico con la administrabilidad legal.*17</w:t>
      </w:r>
    </w:p>
    <w:p w:rsidR="00000000" w:rsidDel="00000000" w:rsidP="00000000" w:rsidRDefault="00000000" w:rsidRPr="00000000" w14:paraId="0000001B">
      <w:pPr>
        <w:spacing w:line="360" w:lineRule="auto"/>
        <w:jc w:val="both"/>
        <w:rPr>
          <w:color w:val="222222"/>
          <w:highlight w:val="white"/>
        </w:rPr>
      </w:pPr>
      <w:r w:rsidDel="00000000" w:rsidR="00000000" w:rsidRPr="00000000">
        <w:rPr>
          <w:color w:val="222222"/>
          <w:highlight w:val="white"/>
          <w:rtl w:val="0"/>
        </w:rPr>
        <w:t xml:space="preserve">La concepción de competencia de Wu sería un enfoque más amplio de “protección de la competencia” que se centra en el proceso competitivo y mira más allá de los efectos de los precios (p. 136). Pero un proceso competitivo más amplio tiene una población</w:t>
      </w:r>
    </w:p>
    <w:p w:rsidR="00000000" w:rsidDel="00000000" w:rsidP="00000000" w:rsidRDefault="00000000" w:rsidRPr="00000000" w14:paraId="0000001C">
      <w:pPr>
        <w:spacing w:line="360" w:lineRule="auto"/>
        <w:jc w:val="both"/>
        <w:rPr>
          <w:b w:val="1"/>
          <w:color w:val="222222"/>
          <w:highlight w:val="white"/>
        </w:rPr>
      </w:pPr>
      <w:r w:rsidDel="00000000" w:rsidR="00000000" w:rsidRPr="00000000">
        <w:rPr>
          <w:b w:val="1"/>
          <w:color w:val="222222"/>
          <w:highlight w:val="white"/>
          <w:rtl w:val="0"/>
        </w:rPr>
        <w:t xml:space="preserve">Inicio página 1263</w:t>
      </w:r>
    </w:p>
    <w:p w:rsidR="00000000" w:rsidDel="00000000" w:rsidP="00000000" w:rsidRDefault="00000000" w:rsidRPr="00000000" w14:paraId="0000001D">
      <w:pPr>
        <w:spacing w:line="360" w:lineRule="auto"/>
        <w:jc w:val="both"/>
        <w:rPr>
          <w:color w:val="222222"/>
          <w:highlight w:val="white"/>
        </w:rPr>
      </w:pPr>
      <w:r w:rsidDel="00000000" w:rsidR="00000000" w:rsidRPr="00000000">
        <w:rPr>
          <w:color w:val="222222"/>
          <w:highlight w:val="white"/>
          <w:rtl w:val="0"/>
        </w:rPr>
        <w:t xml:space="preserve">elemento de lista porque apoya a competidores ineficientes,*18 y el populismo no funciona dentro de la estructura institucional antimonopolio. Comprender el análisis económico y la estructura institucional antimonopolio del derecho elaborado por jueces explica por qué el antimonopolio ha evolucionado y por qué es poco probable que una adopción populista, a falta de nueva legislación, tenga éxito. La legislación antimonopolio es principalmente una ley federal. Pero el “derecho consuetudinario” antimonopolio funciona de manera algo diferente a otros campos. La legislación habilitante antimonopolio permite un desarrollo similar al del derecho consuetudinario.*19 En la práctica, leyes como la Ley Sherman gozan de un cierto rango similar al derecho consuetudinario constitucional.*20</w:t>
      </w:r>
    </w:p>
    <w:p w:rsidR="00000000" w:rsidDel="00000000" w:rsidP="00000000" w:rsidRDefault="00000000" w:rsidRPr="00000000" w14:paraId="0000001E">
      <w:pPr>
        <w:spacing w:line="360" w:lineRule="auto"/>
        <w:jc w:val="both"/>
        <w:rPr>
          <w:color w:val="222222"/>
          <w:highlight w:val="white"/>
        </w:rPr>
      </w:pPr>
      <w:r w:rsidDel="00000000" w:rsidR="00000000" w:rsidRPr="00000000">
        <w:rPr>
          <w:color w:val="222222"/>
          <w:highlight w:val="white"/>
          <w:rtl w:val="0"/>
        </w:rPr>
        <w:t xml:space="preserve">La Corte Suprema ofreció una articulación temprana de este principio constitucional en la Ley Sherman en Appalachian Coals, Inc. v. United States.*21 Allí, la Corte declaró: “Como carta de libertad [económica], la [Sherman ] La ley tiene una generalidad y adaptabilidad comparables a las que se consideran deseables en las disposiciones constitucionales.”*22 Este marco cambia la forma en que la Corte Suprema ve la jurisprudencia antimonopolio. El stare decisis tradicional normalmente significa que la Corte Suprema se muestra reacia a anular su precedente.*23 Las leyes antimonopolio funcionan de manera diferente</w:t>
      </w:r>
    </w:p>
    <w:p w:rsidR="00000000" w:rsidDel="00000000" w:rsidP="00000000" w:rsidRDefault="00000000" w:rsidRPr="00000000" w14:paraId="0000001F">
      <w:pPr>
        <w:spacing w:line="360" w:lineRule="auto"/>
        <w:jc w:val="both"/>
        <w:rPr>
          <w:color w:val="222222"/>
          <w:highlight w:val="white"/>
        </w:rPr>
      </w:pPr>
      <w:r w:rsidDel="00000000" w:rsidR="00000000" w:rsidRPr="00000000">
        <w:rPr>
          <w:color w:val="222222"/>
          <w:highlight w:val="white"/>
          <w:rtl w:val="0"/>
        </w:rPr>
        <w:t xml:space="preserve">A diferencia de otras áreas del derecho, los avances económicos dan forma al replanteamiento de las normas antimonopolio. Desde la década de 1970, la Corte Suprema ha intervenido para revisar la ley antimonopolio, limitando o anulando precedentes basados en la comprensión actual de la economía.*24 Como tal, stare decisis no tiene el mismo significado en antimonopolio que en otros campos, como los precedentes importan menos que los cambios en el pensamiento económico.</w:t>
      </w:r>
    </w:p>
    <w:p w:rsidR="00000000" w:rsidDel="00000000" w:rsidP="00000000" w:rsidRDefault="00000000" w:rsidRPr="00000000" w14:paraId="00000020">
      <w:pPr>
        <w:spacing w:line="360" w:lineRule="auto"/>
        <w:jc w:val="both"/>
        <w:rPr>
          <w:b w:val="1"/>
          <w:color w:val="222222"/>
          <w:highlight w:val="white"/>
        </w:rPr>
      </w:pPr>
      <w:r w:rsidDel="00000000" w:rsidR="00000000" w:rsidRPr="00000000">
        <w:rPr>
          <w:b w:val="1"/>
          <w:color w:val="222222"/>
          <w:highlight w:val="white"/>
          <w:rtl w:val="0"/>
        </w:rPr>
        <w:t xml:space="preserve">Inicio página 1264</w:t>
      </w:r>
    </w:p>
    <w:p w:rsidR="00000000" w:rsidDel="00000000" w:rsidP="00000000" w:rsidRDefault="00000000" w:rsidRPr="00000000" w14:paraId="00000021">
      <w:pPr>
        <w:spacing w:line="360" w:lineRule="auto"/>
        <w:jc w:val="both"/>
        <w:rPr>
          <w:color w:val="222222"/>
          <w:highlight w:val="white"/>
        </w:rPr>
      </w:pPr>
      <w:r w:rsidDel="00000000" w:rsidR="00000000" w:rsidRPr="00000000">
        <w:rPr>
          <w:color w:val="222222"/>
          <w:highlight w:val="white"/>
          <w:rtl w:val="0"/>
        </w:rPr>
        <w:t xml:space="preserve">La Corte Suprema ha explicado que los precedentes antimonopolio son menos importantes que los precedentes en otros campos. Por ejemplo, en State Oil Co. v. Khan, un caso que eliminó la designación per se para el mantenimiento del precio máximo de reventa, el Tribunal explicó:</w:t>
      </w:r>
    </w:p>
    <w:p w:rsidR="00000000" w:rsidDel="00000000" w:rsidP="00000000" w:rsidRDefault="00000000" w:rsidRPr="00000000" w14:paraId="00000022">
      <w:pPr>
        <w:spacing w:line="360" w:lineRule="auto"/>
        <w:jc w:val="both"/>
        <w:rPr>
          <w:color w:val="222222"/>
          <w:highlight w:val="white"/>
        </w:rPr>
      </w:pPr>
      <w:r w:rsidDel="00000000" w:rsidR="00000000" w:rsidRPr="00000000">
        <w:rPr>
          <w:color w:val="222222"/>
          <w:highlight w:val="white"/>
          <w:rtl w:val="0"/>
        </w:rPr>
        <w:t xml:space="preserve">[L]a presunción general de que los cambios legislativos deben dejarse en manos del Congreso tiene menos fuerza con respecto a la Ley Sherman a la luz de la opinión aceptada de que el Congreso “esperaba que los tribunales dieran forma al amplio mandato del estatuto basándose en la tradición del derecho consuetudinario”. .” . . . [La cancha. . . reconsideré] sus decisiones que interpretan la Ley Sherman cuando los fundamentos teóricos de esas decisiones se ponen en duda seriamente.*25</w:t>
      </w:r>
    </w:p>
    <w:p w:rsidR="00000000" w:rsidDel="00000000" w:rsidP="00000000" w:rsidRDefault="00000000" w:rsidRPr="00000000" w14:paraId="00000023">
      <w:pPr>
        <w:spacing w:line="360" w:lineRule="auto"/>
        <w:jc w:val="both"/>
        <w:rPr>
          <w:color w:val="222222"/>
          <w:highlight w:val="white"/>
        </w:rPr>
      </w:pPr>
      <w:r w:rsidDel="00000000" w:rsidR="00000000" w:rsidRPr="00000000">
        <w:rPr>
          <w:color w:val="222222"/>
          <w:highlight w:val="white"/>
          <w:rtl w:val="0"/>
        </w:rPr>
        <w:t xml:space="preserve">Esta visión de las leyes antimonopolio como una variación del derecho consuetudinario se ha arraigado incluso en casos recientes. Como declaró el Tribunal en 2015 en Kim ble v. Marvel Entertainment, LLC, “por lo tanto, nos hemos sentido relativamente libres de revisar nuestro análisis legal a medida que evoluciona la comprensión económica y... . . revertir precedentes antimonopolio que percibieron erróneamente las consecuencias competitivas de una práctica.”*26 Esta incorporación explícita del análisis económico –y la limitación resultante del tradicional stare decisis en el common law antimonopolio– hace que el antimonopolio sea único entre las áreas sustantivas del derecho.*27</w:t>
      </w:r>
    </w:p>
    <w:p w:rsidR="00000000" w:rsidDel="00000000" w:rsidP="00000000" w:rsidRDefault="00000000" w:rsidRPr="00000000" w14:paraId="00000024">
      <w:pPr>
        <w:spacing w:line="360" w:lineRule="auto"/>
        <w:jc w:val="both"/>
        <w:rPr>
          <w:color w:val="222222"/>
          <w:highlight w:val="white"/>
        </w:rPr>
      </w:pPr>
      <w:r w:rsidDel="00000000" w:rsidR="00000000" w:rsidRPr="00000000">
        <w:rPr>
          <w:color w:val="222222"/>
          <w:highlight w:val="white"/>
          <w:rtl w:val="0"/>
        </w:rPr>
        <w:t xml:space="preserve">Desde 1950, el esquema legal básico antimonopolio se ha mantenido constante, aunque se ha modificado con la introducción de la notificación previa a las fusiones*28 y el aumento de las sanciones por violaciones a las leyes antimonopolio.*29 Para comprender lo que las leyes antimonopolio pueden y no pueden hacer, es importante comprender cómo la economía política más amplia del antimonopolio ha dado forma a la jurisprudencia antimonopolio. Fundamentalmente, las leyes antimonopolio cambian gradualmente y no a través de cambios sísmicos. Por lo tanto, sólo mirando a largo plazo se pueden entender las tendencias que dan forma a los casos que pueden llevarse con éxito ante los tribunales. Incluso si Wu tuviera razón en que la aplicación de las leyes antimonopolio no ha sido lo suficientemente agresiva, salvo cambios legislativos, la ley antimonopolio no es capaz de tener el tipo de perfil de aplicación que él le atribuye. El intento institucional antimonopolio de encontrar una solución legislativa para abordar la “justicia” es la Ley Robinson-Patman.*30 Su evolución jurisprudencial muestra que incluso una ley proteccionista puede reinterpretarse para tener un objetivo</w:t>
      </w:r>
    </w:p>
    <w:p w:rsidR="00000000" w:rsidDel="00000000" w:rsidP="00000000" w:rsidRDefault="00000000" w:rsidRPr="00000000" w14:paraId="00000025">
      <w:pPr>
        <w:spacing w:line="360" w:lineRule="auto"/>
        <w:jc w:val="both"/>
        <w:rPr>
          <w:b w:val="1"/>
          <w:color w:val="222222"/>
          <w:highlight w:val="white"/>
        </w:rPr>
      </w:pPr>
      <w:r w:rsidDel="00000000" w:rsidR="00000000" w:rsidRPr="00000000">
        <w:rPr>
          <w:b w:val="1"/>
          <w:color w:val="222222"/>
          <w:highlight w:val="white"/>
          <w:rtl w:val="0"/>
        </w:rPr>
        <w:t xml:space="preserve">Inicio página 1265</w:t>
      </w:r>
    </w:p>
    <w:p w:rsidR="00000000" w:rsidDel="00000000" w:rsidP="00000000" w:rsidRDefault="00000000" w:rsidRPr="00000000" w14:paraId="00000026">
      <w:pPr>
        <w:spacing w:line="360" w:lineRule="auto"/>
        <w:jc w:val="both"/>
        <w:rPr>
          <w:color w:val="222222"/>
          <w:highlight w:val="white"/>
        </w:rPr>
      </w:pPr>
      <w:r w:rsidDel="00000000" w:rsidR="00000000" w:rsidRPr="00000000">
        <w:rPr>
          <w:color w:val="222222"/>
          <w:highlight w:val="white"/>
          <w:rtl w:val="0"/>
        </w:rPr>
        <w:t xml:space="preserve">basado en efectos económicos, incluso cuando dicha reformulación contrasta marcadamente con la intención y el lenguaje real del estatuto.*31</w:t>
      </w:r>
    </w:p>
    <w:p w:rsidR="00000000" w:rsidDel="00000000" w:rsidP="00000000" w:rsidRDefault="00000000" w:rsidRPr="00000000" w14:paraId="00000027">
      <w:pPr>
        <w:spacing w:line="360" w:lineRule="auto"/>
        <w:jc w:val="both"/>
        <w:rPr>
          <w:color w:val="222222"/>
          <w:highlight w:val="white"/>
        </w:rPr>
      </w:pPr>
      <w:r w:rsidDel="00000000" w:rsidR="00000000" w:rsidRPr="00000000">
        <w:rPr>
          <w:color w:val="222222"/>
          <w:highlight w:val="white"/>
          <w:rtl w:val="0"/>
        </w:rPr>
        <w:t xml:space="preserve">II. Los cambios macroeconómicos en la economía estadounidense ayudan a explicar la economía política antimonopolio</w:t>
      </w:r>
    </w:p>
    <w:p w:rsidR="00000000" w:rsidDel="00000000" w:rsidP="00000000" w:rsidRDefault="00000000" w:rsidRPr="00000000" w14:paraId="00000028">
      <w:pPr>
        <w:spacing w:line="360" w:lineRule="auto"/>
        <w:jc w:val="both"/>
        <w:rPr>
          <w:color w:val="222222"/>
          <w:highlight w:val="white"/>
        </w:rPr>
      </w:pPr>
      <w:r w:rsidDel="00000000" w:rsidR="00000000" w:rsidRPr="00000000">
        <w:rPr>
          <w:color w:val="222222"/>
          <w:highlight w:val="white"/>
          <w:rtl w:val="0"/>
        </w:rPr>
        <w:t xml:space="preserve">Las leyes y políticas antimonopolio han respondido en parte a preocupaciones más amplias de economía política. Estas preocupaciones respaldan el malestar de Wu con respecto a la dirección de la economía estadounidense.*32 Observa la creciente concentración en los mercados estadounidenses y sugiere que la concentración ha conducido a una serie de males (p. 22). Las preocupaciones de Wu sobre la concentración económica deben tomarse muy en serio, ya que ha habido disparidades crecientes en riqueza, resultados de salud y educación, y una creciente división cultural. Los cambios en las leyes y políticas antimonopolio pueden haber desempeñado algún papel en esto. Pero ni el trabajo de Wu ni el de otros neobrandeisianos han establecido claramente que el antimonopolio es la causa de estos cambios políticos más amplios.*33 La historia de Wu debería considerar otros factores—como el empleo y los ingresos—que implican la ley y la política de competencia pero que tienen un impacto benigno o incluso positivo. sobre el desempeño económico, la innovación y otras medidas de la vida diaria de los consumidores estadounidenses.*34</w:t>
      </w:r>
    </w:p>
    <w:p w:rsidR="00000000" w:rsidDel="00000000" w:rsidP="00000000" w:rsidRDefault="00000000" w:rsidRPr="00000000" w14:paraId="00000029">
      <w:pPr>
        <w:spacing w:line="360" w:lineRule="auto"/>
        <w:jc w:val="both"/>
        <w:rPr>
          <w:color w:val="222222"/>
          <w:highlight w:val="white"/>
        </w:rPr>
      </w:pPr>
      <w:r w:rsidDel="00000000" w:rsidR="00000000" w:rsidRPr="00000000">
        <w:rPr>
          <w:color w:val="222222"/>
          <w:highlight w:val="white"/>
          <w:rtl w:val="0"/>
        </w:rPr>
        <w:t xml:space="preserve">Para proporcionar un contexto más amplio de cambios más amplios en la economía política, esta revisión examina cuatro ejemplos de intersecciones vitales entre factores macroeconómicos, la organización industrial de la economía estadounidense moderna y las respuestas judiciales y políticas. Hay una contrahistoria que los populistas antimonopolio ignoran sobre el crecimiento de Estados Unidos: los efectos del populismo antimonopolio hasta que el auge del antimonopolio de la Escuela de Chicago coincidió con el declive económico estadounidense. A medida que las reglas antimonopolio cambiaron para estar más orientadas al mercado y el resultado fue una mayor eficiencia económica, el crecimiento económico de Estados Unidos mejoró. Sin embargo, desde el comienzo de la Gran Recesión, una serie de medidas indican que la economía estadounidense se está acercando a la economía enfermiza del período de estancamiento de la década de 1970.*35 Ahora, los supuestos basados en la eficiencia del antimonopolio moderno están siendo cuestionados, y las políticas puede responder como resultado. Pero las circunstancias entre los años 1970 y 2010 son distintas en términos del cambio dentro de la Corte Suprema y las agencias antimonopolio. Mientras que el ejecutivo</w:t>
      </w:r>
    </w:p>
    <w:p w:rsidR="00000000" w:rsidDel="00000000" w:rsidP="00000000" w:rsidRDefault="00000000" w:rsidRPr="00000000" w14:paraId="0000002A">
      <w:pPr>
        <w:spacing w:line="360" w:lineRule="auto"/>
        <w:jc w:val="both"/>
        <w:rPr>
          <w:b w:val="1"/>
          <w:color w:val="222222"/>
          <w:highlight w:val="white"/>
        </w:rPr>
      </w:pPr>
      <w:r w:rsidDel="00000000" w:rsidR="00000000" w:rsidRPr="00000000">
        <w:rPr>
          <w:b w:val="1"/>
          <w:color w:val="222222"/>
          <w:highlight w:val="white"/>
          <w:rtl w:val="0"/>
        </w:rPr>
        <w:t xml:space="preserve">Inicio página 1266</w:t>
      </w:r>
    </w:p>
    <w:p w:rsidR="00000000" w:rsidDel="00000000" w:rsidP="00000000" w:rsidRDefault="00000000" w:rsidRPr="00000000" w14:paraId="0000002B">
      <w:pPr>
        <w:spacing w:line="360" w:lineRule="auto"/>
        <w:jc w:val="both"/>
        <w:rPr>
          <w:color w:val="222222"/>
          <w:highlight w:val="white"/>
        </w:rPr>
      </w:pPr>
      <w:r w:rsidDel="00000000" w:rsidR="00000000" w:rsidRPr="00000000">
        <w:rPr>
          <w:color w:val="222222"/>
          <w:highlight w:val="white"/>
          <w:rtl w:val="0"/>
        </w:rPr>
        <w:t xml:space="preserve">y los poderes legislativos se mantuvieron al margen del cambio del antimonopolio hacia un objetivo basado en la eficiencia en su mayor parte (aparte del nombramiento de líderes de agencias que creían en los efectos económicos),*36 el cambio hoy se centra en estos dos poderes en términos de una posible reforma legislativa a la ley antimonopolio. y candidatos que nombrarían líderes antimonopolio que transformarían fundamentalmente la legislación antimonopolio.</w:t>
      </w:r>
    </w:p>
    <w:p w:rsidR="00000000" w:rsidDel="00000000" w:rsidP="00000000" w:rsidRDefault="00000000" w:rsidRPr="00000000" w14:paraId="0000002C">
      <w:pPr>
        <w:spacing w:line="360" w:lineRule="auto"/>
        <w:jc w:val="both"/>
        <w:rPr>
          <w:color w:val="222222"/>
          <w:highlight w:val="white"/>
        </w:rPr>
      </w:pPr>
      <w:r w:rsidDel="00000000" w:rsidR="00000000" w:rsidRPr="00000000">
        <w:rPr>
          <w:color w:val="222222"/>
          <w:highlight w:val="white"/>
          <w:rtl w:val="0"/>
        </w:rPr>
        <w:t xml:space="preserve">Podemos dividir los cambios en las leyes antimonopolio en función de cuatro períodos de tiempo diferentes: Período 1: buenos tiempos (1950-1972); Periodo 2: estancamiento (1973-1982); Periodo 3: la era moderna (1982-2006); y Período 4: la “Gran Recesión” y más allá (2007-2017). La Tabla I resume estos resultados.</w:t>
      </w:r>
    </w:p>
    <w:p w:rsidR="00000000" w:rsidDel="00000000" w:rsidP="00000000" w:rsidRDefault="00000000" w:rsidRPr="00000000" w14:paraId="0000002D">
      <w:pPr>
        <w:spacing w:line="360" w:lineRule="auto"/>
        <w:jc w:val="both"/>
        <w:rPr>
          <w:color w:val="222222"/>
          <w:highlight w:val="white"/>
        </w:rPr>
      </w:pPr>
      <w:r w:rsidDel="00000000" w:rsidR="00000000" w:rsidRPr="00000000">
        <w:rPr>
          <w:color w:val="222222"/>
          <w:highlight w:val="white"/>
          <w:rtl w:val="0"/>
        </w:rPr>
        <w:t xml:space="preserve">Tabla 1</w:t>
      </w:r>
    </w:p>
    <w:p w:rsidR="00000000" w:rsidDel="00000000" w:rsidP="00000000" w:rsidRDefault="00000000" w:rsidRPr="00000000" w14:paraId="0000002E">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Indicadores macroeconómicos de EE. UU.</w:t>
      </w:r>
    </w:p>
    <w:p w:rsidR="00000000" w:rsidDel="00000000" w:rsidP="00000000" w:rsidRDefault="00000000" w:rsidRPr="00000000" w14:paraId="0000002F">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1950-1972</w:t>
      </w:r>
    </w:p>
    <w:p w:rsidR="00000000" w:rsidDel="00000000" w:rsidP="00000000" w:rsidRDefault="00000000" w:rsidRPr="00000000" w14:paraId="00000030">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PIB real (crecimiento anual promedio): 4,20%</w:t>
      </w:r>
    </w:p>
    <w:p w:rsidR="00000000" w:rsidDel="00000000" w:rsidP="00000000" w:rsidRDefault="00000000" w:rsidRPr="00000000" w14:paraId="00000031">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Productividad empresarial no agrícola (tasa media anual): 2,79%</w:t>
      </w:r>
    </w:p>
    <w:p w:rsidR="00000000" w:rsidDel="00000000" w:rsidP="00000000" w:rsidRDefault="00000000" w:rsidRPr="00000000" w14:paraId="00000032">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Inflación (variación anual promedio diciembre a diciembre): 2,79%</w:t>
      </w:r>
    </w:p>
    <w:p w:rsidR="00000000" w:rsidDel="00000000" w:rsidP="00000000" w:rsidRDefault="00000000" w:rsidRPr="00000000" w14:paraId="00000033">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6,00%</w:t>
      </w:r>
    </w:p>
    <w:p w:rsidR="00000000" w:rsidDel="00000000" w:rsidP="00000000" w:rsidRDefault="00000000" w:rsidRPr="00000000" w14:paraId="00000034">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Tasa preferencial de préstamos bancarios (anual, a partir de 1956): 5,10%</w:t>
      </w:r>
    </w:p>
    <w:p w:rsidR="00000000" w:rsidDel="00000000" w:rsidP="00000000" w:rsidRDefault="00000000" w:rsidRPr="00000000" w14:paraId="00000035">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8,50%</w:t>
      </w:r>
    </w:p>
    <w:p w:rsidR="00000000" w:rsidDel="00000000" w:rsidP="00000000" w:rsidRDefault="00000000" w:rsidRPr="00000000" w14:paraId="00000036">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Desempleo (tasa promedio mensual): 4,80%</w:t>
      </w:r>
    </w:p>
    <w:p w:rsidR="00000000" w:rsidDel="00000000" w:rsidP="00000000" w:rsidRDefault="00000000" w:rsidRPr="00000000" w14:paraId="00000037">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6,80%</w:t>
      </w:r>
    </w:p>
    <w:p w:rsidR="00000000" w:rsidDel="00000000" w:rsidP="00000000" w:rsidRDefault="00000000" w:rsidRPr="00000000" w14:paraId="00000038">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Ingreso familiar real medio (variación anual promedio): 3,28%</w:t>
      </w:r>
    </w:p>
    <w:p w:rsidR="00000000" w:rsidDel="00000000" w:rsidP="00000000" w:rsidRDefault="00000000" w:rsidRPr="00000000" w14:paraId="00000039">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1973-1982</w:t>
      </w:r>
    </w:p>
    <w:p w:rsidR="00000000" w:rsidDel="00000000" w:rsidP="00000000" w:rsidRDefault="00000000" w:rsidRPr="00000000" w14:paraId="0000003A">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PIB real (crecimiento anual promedio): 2,40%</w:t>
      </w:r>
    </w:p>
    <w:p w:rsidR="00000000" w:rsidDel="00000000" w:rsidP="00000000" w:rsidRDefault="00000000" w:rsidRPr="00000000" w14:paraId="0000003B">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Productividad empresarial no agrícola (tasa media anual): 1,14%</w:t>
      </w:r>
    </w:p>
    <w:p w:rsidR="00000000" w:rsidDel="00000000" w:rsidP="00000000" w:rsidRDefault="00000000" w:rsidRPr="00000000" w14:paraId="0000003C">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Inflación (variación anual promedio diciembre a diciembre): 8,20%</w:t>
      </w:r>
    </w:p>
    <w:p w:rsidR="00000000" w:rsidDel="00000000" w:rsidP="00000000" w:rsidRDefault="00000000" w:rsidRPr="00000000" w14:paraId="0000003D">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13,30%</w:t>
      </w:r>
    </w:p>
    <w:p w:rsidR="00000000" w:rsidDel="00000000" w:rsidP="00000000" w:rsidRDefault="00000000" w:rsidRPr="00000000" w14:paraId="0000003E">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Tasa preferencial de préstamos bancarios (anual, a partir de 1956): 11,10%</w:t>
      </w:r>
    </w:p>
    <w:p w:rsidR="00000000" w:rsidDel="00000000" w:rsidP="00000000" w:rsidRDefault="00000000" w:rsidRPr="00000000" w14:paraId="0000003F">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21,50%</w:t>
      </w:r>
    </w:p>
    <w:p w:rsidR="00000000" w:rsidDel="00000000" w:rsidP="00000000" w:rsidRDefault="00000000" w:rsidRPr="00000000" w14:paraId="00000040">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Desempleo (tasa promedio mensual): 7,00%</w:t>
      </w:r>
    </w:p>
    <w:p w:rsidR="00000000" w:rsidDel="00000000" w:rsidP="00000000" w:rsidRDefault="00000000" w:rsidRPr="00000000" w14:paraId="00000041">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9,70%</w:t>
      </w:r>
    </w:p>
    <w:p w:rsidR="00000000" w:rsidDel="00000000" w:rsidP="00000000" w:rsidRDefault="00000000" w:rsidRPr="00000000" w14:paraId="00000042">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Ingreso familiar real medio (variación anual media): -0,16%</w:t>
      </w:r>
    </w:p>
    <w:p w:rsidR="00000000" w:rsidDel="00000000" w:rsidP="00000000" w:rsidRDefault="00000000" w:rsidRPr="00000000" w14:paraId="00000043">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1983-2006</w:t>
      </w:r>
    </w:p>
    <w:p w:rsidR="00000000" w:rsidDel="00000000" w:rsidP="00000000" w:rsidRDefault="00000000" w:rsidRPr="00000000" w14:paraId="00000044">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PIB real (crecimiento anual promedio): 3,46%</w:t>
      </w:r>
    </w:p>
    <w:p w:rsidR="00000000" w:rsidDel="00000000" w:rsidP="00000000" w:rsidRDefault="00000000" w:rsidRPr="00000000" w14:paraId="00000045">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Productividad empresarial no agrícola (tasa media anual): 2,30%</w:t>
      </w:r>
    </w:p>
    <w:p w:rsidR="00000000" w:rsidDel="00000000" w:rsidP="00000000" w:rsidRDefault="00000000" w:rsidRPr="00000000" w14:paraId="00000046">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Inflación (variación anual promedio diciembre a diciembre): 3,10%</w:t>
      </w:r>
    </w:p>
    <w:p w:rsidR="00000000" w:rsidDel="00000000" w:rsidP="00000000" w:rsidRDefault="00000000" w:rsidRPr="00000000" w14:paraId="00000047">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6,30%</w:t>
      </w:r>
    </w:p>
    <w:p w:rsidR="00000000" w:rsidDel="00000000" w:rsidP="00000000" w:rsidRDefault="00000000" w:rsidRPr="00000000" w14:paraId="00000048">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Tasa preferencial de préstamos bancarios (anual, a partir de 1956): 8,00%</w:t>
      </w:r>
    </w:p>
    <w:p w:rsidR="00000000" w:rsidDel="00000000" w:rsidP="00000000" w:rsidRDefault="00000000" w:rsidRPr="00000000" w14:paraId="00000049">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13,00%</w:t>
      </w:r>
    </w:p>
    <w:p w:rsidR="00000000" w:rsidDel="00000000" w:rsidP="00000000" w:rsidRDefault="00000000" w:rsidRPr="00000000" w14:paraId="0000004A">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Desempleo (tasa media mensual): 5,90%</w:t>
      </w:r>
    </w:p>
    <w:p w:rsidR="00000000" w:rsidDel="00000000" w:rsidP="00000000" w:rsidRDefault="00000000" w:rsidRPr="00000000" w14:paraId="0000004B">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9,60%</w:t>
      </w:r>
    </w:p>
    <w:p w:rsidR="00000000" w:rsidDel="00000000" w:rsidP="00000000" w:rsidRDefault="00000000" w:rsidRPr="00000000" w14:paraId="0000004C">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Ingreso familiar real medio (variación anual promedio): 0,92%</w:t>
      </w:r>
    </w:p>
    <w:p w:rsidR="00000000" w:rsidDel="00000000" w:rsidP="00000000" w:rsidRDefault="00000000" w:rsidRPr="00000000" w14:paraId="0000004D">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2007-2017</w:t>
      </w:r>
    </w:p>
    <w:p w:rsidR="00000000" w:rsidDel="00000000" w:rsidP="00000000" w:rsidRDefault="00000000" w:rsidRPr="00000000" w14:paraId="0000004E">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PIB real (crecimiento anual promedio): 1,52%</w:t>
      </w:r>
    </w:p>
    <w:p w:rsidR="00000000" w:rsidDel="00000000" w:rsidP="00000000" w:rsidRDefault="00000000" w:rsidRPr="00000000" w14:paraId="0000004F">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Productividad empresarial no agrícola (tasa media anual): 1,33%</w:t>
      </w:r>
    </w:p>
    <w:p w:rsidR="00000000" w:rsidDel="00000000" w:rsidP="00000000" w:rsidRDefault="00000000" w:rsidRPr="00000000" w14:paraId="00000050">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Inflación (variación anual promedio diciembre a diciembre): 1,60%</w:t>
      </w:r>
    </w:p>
    <w:p w:rsidR="00000000" w:rsidDel="00000000" w:rsidP="00000000" w:rsidRDefault="00000000" w:rsidRPr="00000000" w14:paraId="00000051">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4,10%</w:t>
      </w:r>
    </w:p>
    <w:p w:rsidR="00000000" w:rsidDel="00000000" w:rsidP="00000000" w:rsidRDefault="00000000" w:rsidRPr="00000000" w14:paraId="00000052">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Tasa preferencial de préstamos bancarios (anual, a partir de 1956): 4,00%</w:t>
      </w:r>
    </w:p>
    <w:p w:rsidR="00000000" w:rsidDel="00000000" w:rsidP="00000000" w:rsidRDefault="00000000" w:rsidRPr="00000000" w14:paraId="00000053">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8,25%</w:t>
      </w:r>
    </w:p>
    <w:p w:rsidR="00000000" w:rsidDel="00000000" w:rsidP="00000000" w:rsidRDefault="00000000" w:rsidRPr="00000000" w14:paraId="00000054">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Desempleo (tasa promedio mensual): 6,80%</w:t>
      </w:r>
    </w:p>
    <w:p w:rsidR="00000000" w:rsidDel="00000000" w:rsidP="00000000" w:rsidRDefault="00000000" w:rsidRPr="00000000" w14:paraId="00000055">
      <w:pPr>
        <w:numPr>
          <w:ilvl w:val="0"/>
          <w:numId w:val="1"/>
        </w:numPr>
        <w:spacing w:after="0" w:line="360" w:lineRule="auto"/>
        <w:ind w:left="720" w:hanging="360"/>
        <w:jc w:val="both"/>
        <w:rPr>
          <w:color w:val="222222"/>
          <w:highlight w:val="white"/>
        </w:rPr>
      </w:pPr>
      <w:r w:rsidDel="00000000" w:rsidR="00000000" w:rsidRPr="00000000">
        <w:rPr>
          <w:color w:val="222222"/>
          <w:highlight w:val="white"/>
          <w:rtl w:val="0"/>
        </w:rPr>
        <w:t xml:space="preserve">MÁXIMO: 9,60%</w:t>
      </w:r>
    </w:p>
    <w:p w:rsidR="00000000" w:rsidDel="00000000" w:rsidP="00000000" w:rsidRDefault="00000000" w:rsidRPr="00000000" w14:paraId="00000056">
      <w:pPr>
        <w:numPr>
          <w:ilvl w:val="0"/>
          <w:numId w:val="1"/>
        </w:numPr>
        <w:spacing w:line="360" w:lineRule="auto"/>
        <w:ind w:left="720" w:hanging="360"/>
        <w:jc w:val="both"/>
        <w:rPr>
          <w:color w:val="222222"/>
          <w:highlight w:val="white"/>
        </w:rPr>
      </w:pPr>
      <w:r w:rsidDel="00000000" w:rsidR="00000000" w:rsidRPr="00000000">
        <w:rPr>
          <w:color w:val="222222"/>
          <w:highlight w:val="white"/>
          <w:rtl w:val="0"/>
        </w:rPr>
        <w:t xml:space="preserve">Ingreso familiar real medio (variación anual promedio): 0,62%</w:t>
      </w:r>
    </w:p>
    <w:p w:rsidR="00000000" w:rsidDel="00000000" w:rsidP="00000000" w:rsidRDefault="00000000" w:rsidRPr="00000000" w14:paraId="00000057">
      <w:pPr>
        <w:spacing w:line="360" w:lineRule="auto"/>
        <w:jc w:val="both"/>
        <w:rPr>
          <w:color w:val="222222"/>
          <w:highlight w:val="white"/>
        </w:rPr>
      </w:pPr>
      <w:r w:rsidDel="00000000" w:rsidR="00000000" w:rsidRPr="00000000">
        <w:rPr>
          <w:color w:val="222222"/>
          <w:highlight w:val="white"/>
          <w:rtl w:val="0"/>
        </w:rPr>
        <w:t xml:space="preserve">tabla de fin</w:t>
      </w:r>
    </w:p>
    <w:p w:rsidR="00000000" w:rsidDel="00000000" w:rsidP="00000000" w:rsidRDefault="00000000" w:rsidRPr="00000000" w14:paraId="00000058">
      <w:pPr>
        <w:spacing w:line="360" w:lineRule="auto"/>
        <w:jc w:val="both"/>
        <w:rPr>
          <w:b w:val="1"/>
          <w:color w:val="222222"/>
          <w:highlight w:val="white"/>
        </w:rPr>
      </w:pPr>
      <w:r w:rsidDel="00000000" w:rsidR="00000000" w:rsidRPr="00000000">
        <w:rPr>
          <w:b w:val="1"/>
          <w:color w:val="222222"/>
          <w:highlight w:val="white"/>
          <w:rtl w:val="0"/>
        </w:rPr>
        <w:t xml:space="preserve">Inicio página 1267</w:t>
      </w:r>
    </w:p>
    <w:p w:rsidR="00000000" w:rsidDel="00000000" w:rsidP="00000000" w:rsidRDefault="00000000" w:rsidRPr="00000000" w14:paraId="00000059">
      <w:pPr>
        <w:spacing w:line="360" w:lineRule="auto"/>
        <w:jc w:val="both"/>
        <w:rPr>
          <w:color w:val="222222"/>
          <w:highlight w:val="white"/>
        </w:rPr>
      </w:pPr>
      <w:r w:rsidDel="00000000" w:rsidR="00000000" w:rsidRPr="00000000">
        <w:rPr>
          <w:color w:val="222222"/>
          <w:highlight w:val="white"/>
          <w:rtl w:val="0"/>
        </w:rPr>
        <w:t xml:space="preserve">El Cuadro I muestra que los buenos tiempos del Período 1 no se han replicado en ningún período posterior y que el estancamiento económico del Período 2 parece similar al Período 4 de la Gran Recesión y más allá. El PIB real promedió 4,20% en el Período 1, 2,40% en el Período 2, 3,46% en el Período 3 y 1,52% en el Período 4. La productividad de las empresas no agrícolas de EE.UU. muestra oscilaciones del 2,79% en el Período 1, del 1,14% en el Período 2 y del 2,30% en el Período 1. Período 3, y 1,33% en el Período 4. Con excepción del Período 2 (promedio de 8,20% con un máximo de 13,30%), la inflación ha sido relativamente baja en los demás períodos, con promedios de 2,70%, 3,10% y 1,60%. en los Períodos 1, 3 y 4, respectivamente. El desempleo promedió 4,80% en el período 1, 7,0% en el período 2, 5,90% en el período 3 y 6,80% en el período 4. Finalmente, el ingreso familiar real medio (que nos informa sobre el crecimiento total del ingreso y no sobre la distribución) promedió 3,28% en el período. 1, -0,16% en el Período 2, 0,92% en el Período 3 y 0,62% en el Período 4</w:t>
      </w:r>
    </w:p>
    <w:p w:rsidR="00000000" w:rsidDel="00000000" w:rsidP="00000000" w:rsidRDefault="00000000" w:rsidRPr="00000000" w14:paraId="0000005A">
      <w:pPr>
        <w:spacing w:line="360" w:lineRule="auto"/>
        <w:jc w:val="both"/>
        <w:rPr>
          <w:color w:val="222222"/>
          <w:highlight w:val="white"/>
        </w:rPr>
      </w:pPr>
      <w:r w:rsidDel="00000000" w:rsidR="00000000" w:rsidRPr="00000000">
        <w:rPr>
          <w:color w:val="222222"/>
          <w:highlight w:val="white"/>
          <w:rtl w:val="0"/>
        </w:rPr>
        <w:t xml:space="preserve">La tendencia general es función de muchos factores. Los bebés no fueron lo único que floreció en el Período 1. Más bien, toda la economía experimentó un auge, y la competitividad de Estados Unidos realmente no importó cuando el resto del mundo todavía estaba en modo de recuperación después de la Segunda Guerra Mundial.*43 Este período de auge se debilitó como una costosa crisis internacional. La guerra (Vietnam) y el aumento del gasto interno (Gran Sociedad) significaron que la economía tuvo problemas debido al importante gasto gubernamental y la menor productividad.*44 En el Período 2, los académicos, las agencias antimonopolio y, en última instancia, la Corte Suprema cuestionaron la base del sistema de objetivos múltiples existente. régimen antimonopolio*45 a medida que la competitividad estadounidense disminuía. El tercer período condujo a una flexibilización de las normas antimonopolio y a una mayor liberalización de la economía. Esto condujo a prácticas comerciales más eficientes, como una mejor integración vertical y economías de escala debido a una mayor consolidación horizontal a partir de fusiones.*46 En el Período 4, otro conjunto de compromisos militares internacionales (Irak y Afganistán) y un aumento del gasto interno con las consiguientes dificultades económicas (Gran Recesión)*47 llevó a la gente a cuestionar el régimen antimonopolio.*48 Si</w:t>
      </w:r>
    </w:p>
    <w:p w:rsidR="00000000" w:rsidDel="00000000" w:rsidP="00000000" w:rsidRDefault="00000000" w:rsidRPr="00000000" w14:paraId="0000005B">
      <w:pPr>
        <w:spacing w:line="360" w:lineRule="auto"/>
        <w:jc w:val="both"/>
        <w:rPr>
          <w:b w:val="1"/>
          <w:color w:val="222222"/>
          <w:highlight w:val="white"/>
        </w:rPr>
      </w:pPr>
      <w:r w:rsidDel="00000000" w:rsidR="00000000" w:rsidRPr="00000000">
        <w:rPr>
          <w:b w:val="1"/>
          <w:color w:val="222222"/>
          <w:highlight w:val="white"/>
          <w:rtl w:val="0"/>
        </w:rPr>
        <w:t xml:space="preserve">Inicio página 1268</w:t>
      </w:r>
    </w:p>
    <w:p w:rsidR="00000000" w:rsidDel="00000000" w:rsidP="00000000" w:rsidRDefault="00000000" w:rsidRPr="00000000" w14:paraId="0000005C">
      <w:pPr>
        <w:spacing w:line="360" w:lineRule="auto"/>
        <w:jc w:val="both"/>
        <w:rPr>
          <w:color w:val="222222"/>
          <w:highlight w:val="white"/>
        </w:rPr>
      </w:pPr>
      <w:r w:rsidDel="00000000" w:rsidR="00000000" w:rsidRPr="00000000">
        <w:rPr>
          <w:color w:val="222222"/>
          <w:highlight w:val="white"/>
          <w:rtl w:val="0"/>
        </w:rPr>
        <w:t xml:space="preserve">Si bien la competencia de mercado ya no dio resultados en el Período 4 en términos de ganancias macroeconómicas, tal vez no sea sorprendente que hayamos sido testigos del aumento del populismo antimonopolio a la par del aumento del populismo general.</w:t>
      </w:r>
    </w:p>
    <w:p w:rsidR="00000000" w:rsidDel="00000000" w:rsidP="00000000" w:rsidRDefault="00000000" w:rsidRPr="00000000" w14:paraId="0000005D">
      <w:pPr>
        <w:spacing w:line="360" w:lineRule="auto"/>
        <w:jc w:val="both"/>
        <w:rPr>
          <w:color w:val="222222"/>
          <w:highlight w:val="white"/>
        </w:rPr>
      </w:pPr>
      <w:r w:rsidDel="00000000" w:rsidR="00000000" w:rsidRPr="00000000">
        <w:rPr>
          <w:color w:val="222222"/>
          <w:highlight w:val="white"/>
          <w:rtl w:val="0"/>
        </w:rPr>
        <w:t xml:space="preserve">Desde la perspectiva antimonopolio, estos cuatro períodos identifican varios cambios procesales y sustantivos importantes. Estos cambios políticos están vinculados a los tipos de casos que las partes (gobierno o demandantes privados) estaban dispuestas a llevar ante los tribunales. En última instancia, son los tribunales los que dan forma a la política antimonopolio, ya que las prácticas comerciales ocurren a la sombra de las sentencias antimonopolio. Comprender la economía política en general también explica por qué ha resurgido el populismo: al grupo actual de populistas no le gustan los resultados judiciales en materia de antimonopolio, ya sea sustantivo o procesal, y cree que los trastornos económicos actuales no serán resueltos por los tribunales.*49 Este metanálisis también explica el impacto de la estructura institucional antimonopolio. Los tribunales limitan a las agencias en cuanto a los tipos de casos que pueden presentarse y ganarse.</w:t>
      </w:r>
    </w:p>
    <w:p w:rsidR="00000000" w:rsidDel="00000000" w:rsidP="00000000" w:rsidRDefault="00000000" w:rsidRPr="00000000" w14:paraId="0000005E">
      <w:pPr>
        <w:spacing w:line="360" w:lineRule="auto"/>
        <w:jc w:val="both"/>
        <w:rPr>
          <w:color w:val="222222"/>
          <w:highlight w:val="white"/>
        </w:rPr>
      </w:pPr>
      <w:r w:rsidDel="00000000" w:rsidR="00000000" w:rsidRPr="00000000">
        <w:rPr>
          <w:color w:val="222222"/>
          <w:highlight w:val="white"/>
          <w:rtl w:val="0"/>
        </w:rPr>
        <w:t xml:space="preserve">El período 1 identifica un momento en la jurisprudencia con reglas antimonopolio rígidas que hacían que gran parte del comportamiento fuera per se ilegal o de facto per se ilegal. Este período incluyó casos en los que la Corte Suprema impulsó jurisprudencia que restringía las fusiones horizontales*50, las fusiones verticales*51 y las fusiones de conglomerados;*52 dudaba de la eficiencia;*53 mostraba preocupación por las empresas dominantes;*54 y restringía especialmente las restricciones verticales*55. y empresas conjuntas.*56 En cuestiones de procedimiento, el</w:t>
      </w:r>
    </w:p>
    <w:p w:rsidR="00000000" w:rsidDel="00000000" w:rsidP="00000000" w:rsidRDefault="00000000" w:rsidRPr="00000000" w14:paraId="0000005F">
      <w:pPr>
        <w:spacing w:line="360" w:lineRule="auto"/>
        <w:jc w:val="both"/>
        <w:rPr>
          <w:b w:val="1"/>
          <w:color w:val="222222"/>
          <w:highlight w:val="white"/>
        </w:rPr>
      </w:pPr>
      <w:r w:rsidDel="00000000" w:rsidR="00000000" w:rsidRPr="00000000">
        <w:rPr>
          <w:b w:val="1"/>
          <w:color w:val="222222"/>
          <w:highlight w:val="white"/>
          <w:rtl w:val="0"/>
        </w:rPr>
        <w:t xml:space="preserve">Inicio página 1269</w:t>
      </w:r>
    </w:p>
    <w:p w:rsidR="00000000" w:rsidDel="00000000" w:rsidP="00000000" w:rsidRDefault="00000000" w:rsidRPr="00000000" w14:paraId="00000060">
      <w:pPr>
        <w:spacing w:line="360" w:lineRule="auto"/>
        <w:jc w:val="both"/>
        <w:rPr>
          <w:color w:val="222222"/>
          <w:highlight w:val="white"/>
        </w:rPr>
      </w:pPr>
      <w:r w:rsidDel="00000000" w:rsidR="00000000" w:rsidRPr="00000000">
        <w:rPr>
          <w:color w:val="222222"/>
          <w:highlight w:val="white"/>
          <w:rtl w:val="0"/>
        </w:rPr>
        <w:t xml:space="preserve">La Corte brindó una visión permisiva sobre el momento oportuno para la aplicación por parte del gobierno.*57 Este período, desde una perspectiva jurisprudencial antimonopolio, reflejó preocupación con respecto al poder político y económico. Por ejemplo, en Alcoa, los dictados incluyeron la afirmación de que “las grandes consolidaciones industriales son inherentemente indeseables, independientemente de sus resultados económicos”. *58 De manera similar, en Procter &amp; Gamble, la Corte identificó que “[p]os posibles economías no pueden usarse como una defensa ante la ilegalidad. El Congreso era consciente de que algunas fusiones que reducen la competencia también pueden generar economías, pero logró equilibrar la balanza a favor de proteger la competencia.”*59 Hasta cierto punto, había que temer el tamaño y la concentración. Por ejemplo, una cuota de mercado combinada de tiendas de comestibles del 7,5% en Von's Grocery dio lugar a que la Corte Suprema bloqueara la fusión porque el mercado se "caracterizaba por una tendencia larga y continua hacia cada vez menos propietarios-competidores, que es exactamente el tipo de tendencia que Congreso. . . declarado debe ser arrestado.”*60 Esta jurisprudencia era posible en una época en la que los factores macroeconómicos eran tales que la eficiencia era menos importante porque a la economía le iba muy bien en general.</w:t>
      </w:r>
    </w:p>
    <w:p w:rsidR="00000000" w:rsidDel="00000000" w:rsidP="00000000" w:rsidRDefault="00000000" w:rsidRPr="00000000" w14:paraId="00000061">
      <w:pPr>
        <w:spacing w:line="360" w:lineRule="auto"/>
        <w:jc w:val="both"/>
        <w:rPr>
          <w:color w:val="222222"/>
          <w:highlight w:val="white"/>
        </w:rPr>
      </w:pPr>
      <w:r w:rsidDel="00000000" w:rsidR="00000000" w:rsidRPr="00000000">
        <w:rPr>
          <w:color w:val="222222"/>
          <w:highlight w:val="white"/>
          <w:rtl w:val="0"/>
        </w:rPr>
        <w:t xml:space="preserve">Cuando llegamos al Período 2, la economía estadounidense estaba en relativo declive.*61 La jurisprudencia antimonopolio comenzó a cambiar durante este período, en parte debido a nuevos aprendizajes económicos pero en parte porque había menos capacidad ociosa en una economía en la que Estados Unidos era menos competitivo a nivel mundial. La flexibilización se produce en varias áreas: fusiones,*62 restricciones verticales,*63 legitimación activa,*64 requisitos de intención específica en casos penales antimonopolio,*65 y el abandono de varios casos en los que el conocimiento económico sugería que los casos estaban equivocados.*66</w:t>
      </w:r>
    </w:p>
    <w:p w:rsidR="00000000" w:rsidDel="00000000" w:rsidP="00000000" w:rsidRDefault="00000000" w:rsidRPr="00000000" w14:paraId="00000062">
      <w:pPr>
        <w:spacing w:line="360" w:lineRule="auto"/>
        <w:jc w:val="both"/>
        <w:rPr>
          <w:color w:val="222222"/>
          <w:highlight w:val="white"/>
        </w:rPr>
      </w:pPr>
      <w:r w:rsidDel="00000000" w:rsidR="00000000" w:rsidRPr="00000000">
        <w:rPr>
          <w:color w:val="222222"/>
          <w:highlight w:val="white"/>
          <w:rtl w:val="0"/>
        </w:rPr>
        <w:t xml:space="preserve">El tercer período y una revolución en “Chicago” encabezada por la administración Reagan dieron una base intelectual para que los tribunales flexibilizaran significativamente las normas antimonopolio. En cambio, promovieron “metas” intelectuales antimonopolio y estabilidad ideológica basadas en</w:t>
      </w:r>
    </w:p>
    <w:p w:rsidR="00000000" w:rsidDel="00000000" w:rsidP="00000000" w:rsidRDefault="00000000" w:rsidRPr="00000000" w14:paraId="00000063">
      <w:pPr>
        <w:spacing w:line="360" w:lineRule="auto"/>
        <w:jc w:val="both"/>
        <w:rPr>
          <w:b w:val="1"/>
          <w:color w:val="222222"/>
          <w:highlight w:val="white"/>
        </w:rPr>
      </w:pPr>
      <w:r w:rsidDel="00000000" w:rsidR="00000000" w:rsidRPr="00000000">
        <w:rPr>
          <w:b w:val="1"/>
          <w:color w:val="222222"/>
          <w:highlight w:val="white"/>
          <w:rtl w:val="0"/>
        </w:rPr>
        <w:t xml:space="preserve">Inicio página 1270</w:t>
      </w:r>
    </w:p>
    <w:p w:rsidR="00000000" w:rsidDel="00000000" w:rsidP="00000000" w:rsidRDefault="00000000" w:rsidRPr="00000000" w14:paraId="00000064">
      <w:pPr>
        <w:spacing w:line="360" w:lineRule="auto"/>
        <w:jc w:val="both"/>
        <w:rPr>
          <w:color w:val="222222"/>
          <w:highlight w:val="white"/>
        </w:rPr>
      </w:pPr>
      <w:r w:rsidDel="00000000" w:rsidR="00000000" w:rsidRPr="00000000">
        <w:rPr>
          <w:color w:val="222222"/>
          <w:highlight w:val="white"/>
          <w:rtl w:val="0"/>
        </w:rPr>
        <w:t xml:space="preserve">un estándar de bienestar del consumidor resuelto desde el período Bush I a Bush II.*67 Este período también incluyó un crecimiento significativo de la productividad en Estados Unidos.*68 En términos de desarrollo de la ley antimonopolio, durante este período, la aplicación por parte de los tribunales y agencias antimonopolio aumentó la dificultad de encontrar acción concertada*69, mayores obstáculos procesales*70, fusiones horizontales enfocadas en encontrar efectos anticompetitivos*71 y eficiencias de fusión validadas.*72 Este período también vio un cambio hacia restricciones relajadas sobre la conducta de las empresas dominantes.*73 Las restricciones verticales también se relajaron. *74 Finalmente, las leyes antimonopolio y la propiedad intelectual ya no estaban reñidas.*75</w:t>
      </w:r>
    </w:p>
    <w:p w:rsidR="00000000" w:rsidDel="00000000" w:rsidP="00000000" w:rsidRDefault="00000000" w:rsidRPr="00000000" w14:paraId="00000065">
      <w:pPr>
        <w:spacing w:line="360" w:lineRule="auto"/>
        <w:jc w:val="both"/>
        <w:rPr>
          <w:color w:val="222222"/>
          <w:highlight w:val="white"/>
        </w:rPr>
      </w:pPr>
      <w:r w:rsidDel="00000000" w:rsidR="00000000" w:rsidRPr="00000000">
        <w:rPr>
          <w:color w:val="222222"/>
          <w:highlight w:val="white"/>
          <w:rtl w:val="0"/>
        </w:rPr>
        <w:t xml:space="preserve">En el período 4, el péndulo comenzó a retroceder en algunas áreas, pero en general continuó la flexibilización de las restricciones antimonopolio. Los cambios procesales hicieron más difícil para los demandantes presentar demandas colectivas.*76 En términos de fondo, el cambio de carga se volvió más difícil para los demandantes en algunos casos de regla de razón*77 y donde el Tribunal impuso nuevos límites a la acción estatal.*78 Pero en otros En algunas áreas hubo rechazo a las grandes empresas tecnológicas,*79 más agresividad en términos de casos de pagos invertidos,*80 y una serie de victorias en tribunales inferiores para</w:t>
      </w:r>
    </w:p>
    <w:p w:rsidR="00000000" w:rsidDel="00000000" w:rsidP="00000000" w:rsidRDefault="00000000" w:rsidRPr="00000000" w14:paraId="00000066">
      <w:pPr>
        <w:spacing w:line="360" w:lineRule="auto"/>
        <w:jc w:val="both"/>
        <w:rPr>
          <w:b w:val="1"/>
          <w:color w:val="222222"/>
          <w:highlight w:val="white"/>
        </w:rPr>
      </w:pPr>
      <w:r w:rsidDel="00000000" w:rsidR="00000000" w:rsidRPr="00000000">
        <w:rPr>
          <w:b w:val="1"/>
          <w:color w:val="222222"/>
          <w:highlight w:val="white"/>
          <w:rtl w:val="0"/>
        </w:rPr>
        <w:t xml:space="preserve">Inicio página 1271</w:t>
      </w:r>
    </w:p>
    <w:p w:rsidR="00000000" w:rsidDel="00000000" w:rsidP="00000000" w:rsidRDefault="00000000" w:rsidRPr="00000000" w14:paraId="00000067">
      <w:pPr>
        <w:spacing w:line="360" w:lineRule="auto"/>
        <w:jc w:val="both"/>
        <w:rPr>
          <w:color w:val="222222"/>
          <w:highlight w:val="white"/>
        </w:rPr>
      </w:pPr>
      <w:r w:rsidDel="00000000" w:rsidR="00000000" w:rsidRPr="00000000">
        <w:rPr>
          <w:color w:val="222222"/>
          <w:highlight w:val="white"/>
          <w:rtl w:val="0"/>
        </w:rPr>
        <w:t xml:space="preserve">limitar las restricciones verticales anticompetitivas en la nueva economía*81 y en las fusiones de atención sanitaria.*82</w:t>
      </w:r>
    </w:p>
    <w:p w:rsidR="00000000" w:rsidDel="00000000" w:rsidP="00000000" w:rsidRDefault="00000000" w:rsidRPr="00000000" w14:paraId="00000068">
      <w:pPr>
        <w:spacing w:line="360" w:lineRule="auto"/>
        <w:jc w:val="both"/>
        <w:rPr>
          <w:color w:val="222222"/>
          <w:highlight w:val="white"/>
        </w:rPr>
      </w:pPr>
      <w:r w:rsidDel="00000000" w:rsidR="00000000" w:rsidRPr="00000000">
        <w:rPr>
          <w:color w:val="222222"/>
          <w:highlight w:val="white"/>
          <w:rtl w:val="0"/>
        </w:rPr>
        <w:t xml:space="preserve">III. El ataque populista al bienestar del consumidor está equivocado</w:t>
      </w:r>
    </w:p>
    <w:p w:rsidR="00000000" w:rsidDel="00000000" w:rsidP="00000000" w:rsidRDefault="00000000" w:rsidRPr="00000000" w14:paraId="00000069">
      <w:pPr>
        <w:spacing w:line="360" w:lineRule="auto"/>
        <w:jc w:val="both"/>
        <w:rPr>
          <w:color w:val="222222"/>
          <w:highlight w:val="white"/>
        </w:rPr>
      </w:pPr>
      <w:r w:rsidDel="00000000" w:rsidR="00000000" w:rsidRPr="00000000">
        <w:rPr>
          <w:color w:val="222222"/>
          <w:highlight w:val="white"/>
          <w:rtl w:val="0"/>
        </w:rPr>
        <w:t xml:space="preserve">Wu es hostil al estándar de bienestar del consumidor utilizado en la legislación antimonopolio y concluye que el enfoque de objetivos múltiples de la “ley antimonopolio, que se atrevió a dictar cómo debería ser la economía, necesitaba ser puesto en hibernación, tal vez para siempre” (p. 92). Sin embargo, el estándar de bienestar del consumidor que ataca Wu no es el estándar de bienestar del consumidor real articulado por Bork y la Escuela de Chicago. El bienestar del consumidor de Bork era en realidad un bienestar total; Bork astutamente lo llamó bienestar del consumidor, probablemente en parte porque era un mejor eslogan.*83 La diferencia entre los dos, en pocas palabras, es que el bienestar total es el bienestar agregado tanto de los productores como de los consumidores, mientras que el bienestar del consumidor se centra sólo en las consecuencias para el bienestar de los consumidores.*84 Aunque al principio la Corte Suprema entendió el bienestar del consumidor de la misma manera que lo hizo Bork,*85 hoy cuando la Corte se refiere al bienestar del consumidor en realidad significa bienestar del consumidor.*86 La mayoría de las veces, el bienestar del consumidor y el bienestar total producen el mismo resultado.</w:t>
      </w:r>
    </w:p>
    <w:p w:rsidR="00000000" w:rsidDel="00000000" w:rsidP="00000000" w:rsidRDefault="00000000" w:rsidRPr="00000000" w14:paraId="0000006A">
      <w:pPr>
        <w:spacing w:line="360" w:lineRule="auto"/>
        <w:jc w:val="both"/>
        <w:rPr>
          <w:color w:val="222222"/>
          <w:highlight w:val="white"/>
        </w:rPr>
      </w:pPr>
      <w:r w:rsidDel="00000000" w:rsidR="00000000" w:rsidRPr="00000000">
        <w:rPr>
          <w:color w:val="222222"/>
          <w:highlight w:val="white"/>
          <w:rtl w:val="0"/>
        </w:rPr>
        <w:t xml:space="preserve">El bienestar del consumidor tampoco significa realmente bienestar del consumidor para Wu. La verdadera preocupación de Wu es que las leyes antimonopolio se han guiado por la economía de las organizaciones industriales y cómo la evidencia económica debe coincidir con las teorías del daño. Ampliaría las leyes antimonopolio para ir más allá del análisis económico e incluir una gama más amplia de criterios que serían más democráticos (p. 135). Por ejemplo, Wu propone la presentación pública de comentarios de la industria sobre fusiones importantes y de soluciones de acuerdos de consentimiento presentados para comentarios públicos (p. 130). Wu afirma que “las grandes fusiones son políticas, y la idea de mantener al público o a sus representantes en la ignorancia es difícil de apoyar” (p. 130), politizando así el proceso de revisión de fusiones. Semejante enfoque es contrario a la advertencia implícita de la Corte Suprema en el caso Trinko de que los tribunales antimonopolio no están preparados para “actuar</w:t>
      </w:r>
    </w:p>
    <w:p w:rsidR="00000000" w:rsidDel="00000000" w:rsidP="00000000" w:rsidRDefault="00000000" w:rsidRPr="00000000" w14:paraId="0000006B">
      <w:pPr>
        <w:spacing w:line="360" w:lineRule="auto"/>
        <w:jc w:val="both"/>
        <w:rPr>
          <w:b w:val="1"/>
          <w:color w:val="222222"/>
          <w:highlight w:val="white"/>
        </w:rPr>
      </w:pPr>
      <w:r w:rsidDel="00000000" w:rsidR="00000000" w:rsidRPr="00000000">
        <w:rPr>
          <w:b w:val="1"/>
          <w:color w:val="222222"/>
          <w:highlight w:val="white"/>
          <w:rtl w:val="0"/>
        </w:rPr>
        <w:t xml:space="preserve">Inicio página 1272</w:t>
      </w:r>
    </w:p>
    <w:p w:rsidR="00000000" w:rsidDel="00000000" w:rsidP="00000000" w:rsidRDefault="00000000" w:rsidRPr="00000000" w14:paraId="0000006C">
      <w:pPr>
        <w:spacing w:line="360" w:lineRule="auto"/>
        <w:jc w:val="both"/>
        <w:rPr>
          <w:color w:val="222222"/>
          <w:highlight w:val="white"/>
        </w:rPr>
      </w:pPr>
      <w:r w:rsidDel="00000000" w:rsidR="00000000" w:rsidRPr="00000000">
        <w:rPr>
          <w:color w:val="222222"/>
          <w:highlight w:val="white"/>
          <w:rtl w:val="0"/>
        </w:rPr>
        <w:t xml:space="preserve">como planificadores centrales, identificando el precio, la cantidad y otros términos de negociación adecuados.”*87</w:t>
      </w:r>
    </w:p>
    <w:p w:rsidR="00000000" w:rsidDel="00000000" w:rsidP="00000000" w:rsidRDefault="00000000" w:rsidRPr="00000000" w14:paraId="0000006D">
      <w:pPr>
        <w:spacing w:line="360" w:lineRule="auto"/>
        <w:jc w:val="both"/>
        <w:rPr>
          <w:color w:val="222222"/>
          <w:highlight w:val="white"/>
        </w:rPr>
      </w:pPr>
      <w:r w:rsidDel="00000000" w:rsidR="00000000" w:rsidRPr="00000000">
        <w:rPr>
          <w:color w:val="222222"/>
          <w:highlight w:val="white"/>
          <w:rtl w:val="0"/>
        </w:rPr>
        <w:t xml:space="preserve">Tal resultado estaría orientado a los “resultados” porque conceptos más amplios como “equidad” serían, por definición, justos a los ojos del espectador, y ciertos resultados serían objeto de ingeniería inversa a través de la jurisprudencia porque eran “justos”. Es por esta razón que Phillip Areeda y Herbert Hovenkamp desconfían del uso de la justicia en materia antimonopolio, y señalan que la justicia es “una afirmación vaga que se aplica a cualquier valor que uno favorece”*88. De manera similar, Donald Turner advierte que el populismo “ ampliaría las prohibiciones antimonopolio para cubrir conductas comerciales que no tengan efectos anticompetitivos significativos, aumentaría la vaguedad de la ley y desalentaría conductas que promuevan eficiencias que no son fácilmente reconocidas o probadas.”*89</w:t>
      </w:r>
    </w:p>
    <w:p w:rsidR="00000000" w:rsidDel="00000000" w:rsidP="00000000" w:rsidRDefault="00000000" w:rsidRPr="00000000" w14:paraId="0000006E">
      <w:pPr>
        <w:spacing w:line="360" w:lineRule="auto"/>
        <w:jc w:val="both"/>
        <w:rPr>
          <w:color w:val="222222"/>
          <w:highlight w:val="white"/>
        </w:rPr>
      </w:pPr>
      <w:r w:rsidDel="00000000" w:rsidR="00000000" w:rsidRPr="00000000">
        <w:rPr>
          <w:color w:val="222222"/>
          <w:highlight w:val="white"/>
          <w:rtl w:val="0"/>
        </w:rPr>
        <w:t xml:space="preserve">La noción de lo que significa el bienestar del consumidor ha cambiado a medida que ha cambiado el aprendizaje económico. Estos cambios son adoptados por la jurisprudencia. Un ejemplo de este cambio son las fusiones en el sector sanitario y la definición del mercado. Después de perder fusiones de atención médica, la FTC emprendió una retrospectiva de fusiones para comprender mejor los mercados hospitalarios.*90 Tomando en cuenta los avances económicos más recientes,*91 la FTC descubrió que la prueba de definición de mercado de Elzinga-Hogarty*92 era errónea y demasiado inclusiva.*93 Al utilizar jurisprudencia para reelaborar la teoría, mejores herramientas empíricas y más datos, la FTC ganó en Evanston para deshacer una fusión de hospitales consumada.*94 Desde ese caso, la FTC ha tenido un historial mucho más sólido de ganar casos de fusiones de hospitales gracias a las decisiones de los tribunales. ' adopción de modelos económicos más sofisticados.*95</w:t>
      </w:r>
    </w:p>
    <w:p w:rsidR="00000000" w:rsidDel="00000000" w:rsidP="00000000" w:rsidRDefault="00000000" w:rsidRPr="00000000" w14:paraId="0000006F">
      <w:pPr>
        <w:spacing w:line="360" w:lineRule="auto"/>
        <w:jc w:val="both"/>
        <w:rPr>
          <w:b w:val="1"/>
          <w:color w:val="222222"/>
          <w:highlight w:val="white"/>
        </w:rPr>
      </w:pPr>
      <w:r w:rsidDel="00000000" w:rsidR="00000000" w:rsidRPr="00000000">
        <w:rPr>
          <w:b w:val="1"/>
          <w:color w:val="222222"/>
          <w:highlight w:val="white"/>
          <w:rtl w:val="0"/>
        </w:rPr>
        <w:t xml:space="preserve">Inicio página 1273</w:t>
      </w:r>
    </w:p>
    <w:p w:rsidR="00000000" w:rsidDel="00000000" w:rsidP="00000000" w:rsidRDefault="00000000" w:rsidRPr="00000000" w14:paraId="00000070">
      <w:pPr>
        <w:spacing w:line="360" w:lineRule="auto"/>
        <w:jc w:val="both"/>
        <w:rPr>
          <w:color w:val="222222"/>
          <w:highlight w:val="white"/>
        </w:rPr>
      </w:pPr>
      <w:r w:rsidDel="00000000" w:rsidR="00000000" w:rsidRPr="00000000">
        <w:rPr>
          <w:color w:val="222222"/>
          <w:highlight w:val="white"/>
          <w:rtl w:val="0"/>
        </w:rPr>
        <w:t xml:space="preserve">En general, el análisis económico permite un sistema verdaderamente justo, uno que se decide en función de hechos y efectos económicos reales, y no simplemente una parte quejándose más ruidosamente que la otra sobre lo que es justo.*96 El profesor Froeb y sus coautores resumen el cambio y por qué La tecnocracia es mejor de la siguiente manera:</w:t>
      </w:r>
    </w:p>
    <w:p w:rsidR="00000000" w:rsidDel="00000000" w:rsidP="00000000" w:rsidRDefault="00000000" w:rsidRPr="00000000" w14:paraId="00000071">
      <w:pPr>
        <w:spacing w:line="360" w:lineRule="auto"/>
        <w:jc w:val="both"/>
        <w:rPr>
          <w:color w:val="222222"/>
          <w:highlight w:val="white"/>
        </w:rPr>
      </w:pPr>
      <w:r w:rsidDel="00000000" w:rsidR="00000000" w:rsidRPr="00000000">
        <w:rPr>
          <w:color w:val="222222"/>
          <w:highlight w:val="white"/>
          <w:rtl w:val="0"/>
        </w:rPr>
        <w:t xml:space="preserve">Hace cuarenta años. . . La inferencia fue primitiva, extraída principalmente del paradigma Estructura-Conducta-Desempeño, y apoyada principalmente por regresiones intersectoriales de precios o ganancias sobre la concentración industrial. En los juicios antimonopolio, no era raro que los expertos de la oposición opinaran sobre los efectos de una fusión basándose en poca teoría económica o evidencia empírica, y sin ofrecer ningún mapeo de ninguno de ellos a sus opiniones. El análisis económico ocupa ahora un papel central en la aplicación de las leyes antimonopolio y las opiniones de expertos creíbles se derivan de modelos teóricos y empíricos.*97</w:t>
      </w:r>
    </w:p>
    <w:p w:rsidR="00000000" w:rsidDel="00000000" w:rsidP="00000000" w:rsidRDefault="00000000" w:rsidRPr="00000000" w14:paraId="00000072">
      <w:pPr>
        <w:spacing w:line="360" w:lineRule="auto"/>
        <w:jc w:val="both"/>
        <w:rPr>
          <w:color w:val="222222"/>
          <w:highlight w:val="white"/>
        </w:rPr>
      </w:pPr>
      <w:r w:rsidDel="00000000" w:rsidR="00000000" w:rsidRPr="00000000">
        <w:rPr>
          <w:color w:val="222222"/>
          <w:highlight w:val="white"/>
          <w:rtl w:val="0"/>
        </w:rPr>
        <w:t xml:space="preserve">Esta idea explica que es el bienestar del consumidor lo que ofrece legitimidad democrática. Los casos se reducen a hechos (y análisis para explicarlos) más que a un concurso de popularidad. La transición a un mayor análisis económico de los casos fue resultado de un cambio organizacional que dio igual peso a los economistas de las agencias antimonopolio estadounidenses que a los abogados.*98 Cuando los economistas tienen voz y voto en la resolución de los casos, pueden repensar los modelos económicos basados en hechos para representar mejor la realidad, ya sea utilizando modelos estáticos o dinámicos.*99</w:t>
      </w:r>
    </w:p>
    <w:p w:rsidR="00000000" w:rsidDel="00000000" w:rsidP="00000000" w:rsidRDefault="00000000" w:rsidRPr="00000000" w14:paraId="00000073">
      <w:pPr>
        <w:spacing w:line="360" w:lineRule="auto"/>
        <w:jc w:val="both"/>
        <w:rPr>
          <w:color w:val="222222"/>
          <w:highlight w:val="white"/>
        </w:rPr>
      </w:pPr>
      <w:r w:rsidDel="00000000" w:rsidR="00000000" w:rsidRPr="00000000">
        <w:rPr>
          <w:color w:val="222222"/>
          <w:highlight w:val="white"/>
          <w:rtl w:val="0"/>
        </w:rPr>
        <w:t xml:space="preserve">Una razón de la hostilidad de Wu hacia el análisis económico es su preocupación de que el estándar de bienestar del consumidor no tenga en cuenta cuestiones no relacionadas con los precios (p. 135). Sin embargo, el bienestar del consumidor puede abordar cuestiones no relacionadas con los precios. de hecho, lo hace con regularidad. Wu realmente no puede creer que el análisis antimonopolio distinto de los precios sea un problema con las leyes antimonopolio. Muchos de los casos importantes de conducta de la era de la Escuela de Chicago que estudia Wu abordan la competencia no relacionada con los precios (p. 131).</w:t>
      </w:r>
    </w:p>
    <w:p w:rsidR="00000000" w:rsidDel="00000000" w:rsidP="00000000" w:rsidRDefault="00000000" w:rsidRPr="00000000" w14:paraId="00000074">
      <w:pPr>
        <w:spacing w:line="360" w:lineRule="auto"/>
        <w:jc w:val="both"/>
        <w:rPr>
          <w:color w:val="222222"/>
          <w:highlight w:val="white"/>
        </w:rPr>
      </w:pPr>
      <w:r w:rsidDel="00000000" w:rsidR="00000000" w:rsidRPr="00000000">
        <w:rPr>
          <w:color w:val="222222"/>
          <w:highlight w:val="white"/>
          <w:rtl w:val="0"/>
        </w:rPr>
        <w:t xml:space="preserve">Tanto a nivel de la Corte Suprema como a nivel de los tribunales inferiores, los tribunales antimonopolio se han ocupado regularmente de cuestiones no relacionadas con los precios (a menudo también con elementos de precios).*100 Los factores no relacionados con los precios no son nuevos para las leyes antimonopolio.*101 Además , el Tribunal Supremo reconoce expresamente que puede abordar dinámicas</w:t>
      </w:r>
    </w:p>
    <w:p w:rsidR="00000000" w:rsidDel="00000000" w:rsidP="00000000" w:rsidRDefault="00000000" w:rsidRPr="00000000" w14:paraId="00000075">
      <w:pPr>
        <w:spacing w:line="360" w:lineRule="auto"/>
        <w:jc w:val="both"/>
        <w:rPr>
          <w:b w:val="1"/>
          <w:color w:val="222222"/>
          <w:highlight w:val="white"/>
        </w:rPr>
      </w:pPr>
      <w:r w:rsidDel="00000000" w:rsidR="00000000" w:rsidRPr="00000000">
        <w:rPr>
          <w:b w:val="1"/>
          <w:color w:val="222222"/>
          <w:highlight w:val="white"/>
          <w:rtl w:val="0"/>
        </w:rPr>
        <w:t xml:space="preserve">Inicio página 1274</w:t>
      </w:r>
    </w:p>
    <w:p w:rsidR="00000000" w:rsidDel="00000000" w:rsidP="00000000" w:rsidRDefault="00000000" w:rsidRPr="00000000" w14:paraId="00000076">
      <w:pPr>
        <w:spacing w:line="360" w:lineRule="auto"/>
        <w:jc w:val="both"/>
        <w:rPr>
          <w:color w:val="222222"/>
          <w:highlight w:val="white"/>
        </w:rPr>
      </w:pPr>
      <w:r w:rsidDel="00000000" w:rsidR="00000000" w:rsidRPr="00000000">
        <w:rPr>
          <w:color w:val="222222"/>
          <w:highlight w:val="white"/>
          <w:rtl w:val="0"/>
        </w:rPr>
        <w:t xml:space="preserve">demandas antimonopolio.*102 De hecho, la historia ha demostrado que las leyes antimonopolio se centran no sólo en los efectos a corto plazo sino también en los efectos a largo plazo. Por ejemplo, Learned Hand escribió en 1916: “el interés del consumidor a largo plazo es muy diferente de una caída inmediata de los precios”.*103 Por lo tanto, el aprendizaje económico ayuda a determinar cómo las agencias y los tribunales ven las leyes antimonopolio.*104</w:t>
      </w:r>
    </w:p>
    <w:p w:rsidR="00000000" w:rsidDel="00000000" w:rsidP="00000000" w:rsidRDefault="00000000" w:rsidRPr="00000000" w14:paraId="00000077">
      <w:pPr>
        <w:spacing w:line="360" w:lineRule="auto"/>
        <w:jc w:val="both"/>
        <w:rPr>
          <w:color w:val="222222"/>
          <w:highlight w:val="white"/>
        </w:rPr>
      </w:pPr>
      <w:r w:rsidDel="00000000" w:rsidR="00000000" w:rsidRPr="00000000">
        <w:rPr>
          <w:color w:val="222222"/>
          <w:highlight w:val="white"/>
          <w:rtl w:val="0"/>
        </w:rPr>
        <w:t xml:space="preserve">Dada la importante jurisprudencia sobre antimonopolio no relacionado con los precios, Wu no está dispuesto a expresar de qué se trata realmente para él el ataque al estándar de bienestar del consumidor: la creación de un régimen regulatorio antimonopolio en lugar de un régimen de aplicación de las leyes antimonopolio. Es decir, Wu implícitamente quiere convertir a las agencias antimonopolio en un organismo regulador con múltiples objetivos y supervisión prospectiva, similar a la FCC, una agencia que ha estudiado extensamente. Sin embargo, las agencias administrativas están plagadas de preocupaciones sobre la captura.*105 Además, el historial de la FCC en fusiones que Wu condena desde el punto de vista antimonopolio no es sólido. La FCC, utilizando el estándar de interés público para revisar las mismas fusiones que las agencias antimonopolio, también permitió una consolidación significativa.*106 Esto también se aplica a la FAA en las industrias aéreas. Y varios reguladores financieros (como la OCC, la Junta de la Reserva Federal y la FDIC) que permitieron la consolidación de los servicios financieros también tienen múltiples objetivos. Un enfoque estándar de interés público también supone que el gobierno tiene en mente el interés público de modo que responde a las preferencias de los consumidores y no intenta moldearlas.*107</w:t>
      </w:r>
    </w:p>
    <w:p w:rsidR="00000000" w:rsidDel="00000000" w:rsidP="00000000" w:rsidRDefault="00000000" w:rsidRPr="00000000" w14:paraId="00000078">
      <w:pPr>
        <w:spacing w:after="240" w:before="240" w:line="360" w:lineRule="auto"/>
        <w:jc w:val="both"/>
        <w:rPr>
          <w:color w:val="222222"/>
          <w:highlight w:val="white"/>
        </w:rPr>
      </w:pPr>
      <w:r w:rsidDel="00000000" w:rsidR="00000000" w:rsidRPr="00000000">
        <w:rPr>
          <w:color w:val="222222"/>
          <w:highlight w:val="white"/>
          <w:rtl w:val="0"/>
        </w:rPr>
        <w:t xml:space="preserve">IV. Lo que sabemos sobre la tecnología y la innovación de plataformas</w:t>
      </w:r>
    </w:p>
    <w:p w:rsidR="00000000" w:rsidDel="00000000" w:rsidP="00000000" w:rsidRDefault="00000000" w:rsidRPr="00000000" w14:paraId="00000079">
      <w:pPr>
        <w:spacing w:line="360" w:lineRule="auto"/>
        <w:jc w:val="both"/>
        <w:rPr>
          <w:color w:val="222222"/>
          <w:highlight w:val="white"/>
        </w:rPr>
      </w:pPr>
      <w:r w:rsidDel="00000000" w:rsidR="00000000" w:rsidRPr="00000000">
        <w:rPr>
          <w:color w:val="222222"/>
          <w:highlight w:val="white"/>
          <w:rtl w:val="0"/>
        </w:rPr>
        <w:t xml:space="preserve">Hay que temer a las grandes empresas tecnológicas, sugiere Wu (págs. 21 y 22). Wu conecta la “ubicuidad” de las grandes tecnologías con un anodino “sentido de preocupación” por su poder, que describe como una “prerrogativa real” (p. 21). Centrándose en un puñado de empresas, Wu explica que “aquí dejó de ser la próxima novedad, o al menos, algo nuevo que supusiera un serio desafío para lo anterior” (p. 121). Las críticas generales no aprecian plenamente los diferentes modelos de negocio y las preocupaciones sobre la competencia que pueden surgir con diferentes</w:t>
      </w:r>
    </w:p>
    <w:p w:rsidR="00000000" w:rsidDel="00000000" w:rsidP="00000000" w:rsidRDefault="00000000" w:rsidRPr="00000000" w14:paraId="0000007A">
      <w:pPr>
        <w:spacing w:line="360" w:lineRule="auto"/>
        <w:jc w:val="both"/>
        <w:rPr>
          <w:b w:val="1"/>
          <w:color w:val="222222"/>
          <w:highlight w:val="white"/>
        </w:rPr>
      </w:pPr>
      <w:r w:rsidDel="00000000" w:rsidR="00000000" w:rsidRPr="00000000">
        <w:rPr>
          <w:b w:val="1"/>
          <w:color w:val="222222"/>
          <w:highlight w:val="white"/>
          <w:rtl w:val="0"/>
        </w:rPr>
        <w:t xml:space="preserve">Inicio página 1275</w:t>
      </w:r>
    </w:p>
    <w:p w:rsidR="00000000" w:rsidDel="00000000" w:rsidP="00000000" w:rsidRDefault="00000000" w:rsidRPr="00000000" w14:paraId="0000007B">
      <w:pPr>
        <w:spacing w:line="360" w:lineRule="auto"/>
        <w:jc w:val="both"/>
        <w:rPr>
          <w:color w:val="222222"/>
          <w:highlight w:val="white"/>
        </w:rPr>
      </w:pPr>
      <w:r w:rsidDel="00000000" w:rsidR="00000000" w:rsidRPr="00000000">
        <w:rPr>
          <w:color w:val="222222"/>
          <w:highlight w:val="white"/>
          <w:rtl w:val="0"/>
        </w:rPr>
        <w:t xml:space="preserve">Tipos de plataformas tecnológicas. Por ejemplo, las plataformas de comercio electrónico tienen un modelo diferente al de la computación en la nube, las redes sociales, las plataformas fintech, las plataformas P2P y varios tipos de plataformas relacionadas con la búsqueda, aunque todas compiten en algún nivel por la publicidad y los usuarios. Además, Wu ignora el auge de plataformas tecnológicas chinas como Alibaba, Tencent, Baidu, DiDi, Xiaomi y Ctrip, que crean competencia global para las empresas occidentales, tanto directamente como en el mercado de adquisiciones verticales.*108</w:t>
      </w:r>
    </w:p>
    <w:p w:rsidR="00000000" w:rsidDel="00000000" w:rsidP="00000000" w:rsidRDefault="00000000" w:rsidRPr="00000000" w14:paraId="0000007C">
      <w:pPr>
        <w:spacing w:line="360" w:lineRule="auto"/>
        <w:jc w:val="both"/>
        <w:rPr>
          <w:color w:val="222222"/>
          <w:highlight w:val="white"/>
        </w:rPr>
      </w:pPr>
      <w:r w:rsidDel="00000000" w:rsidR="00000000" w:rsidRPr="00000000">
        <w:rPr>
          <w:color w:val="222222"/>
          <w:highlight w:val="white"/>
          <w:rtl w:val="0"/>
        </w:rPr>
        <w:t xml:space="preserve">Si bien estas críticas generales pueden ganar puntos políticos entre los populistas tanto de izquierda como de derecha, el análisis antimonopolio requiere una investigación que combine la teoría económica con la evidencia. En la práctica, trabajar mediante un análisis de las plataformas tecnológicas, que incluye elementos como la definición del mercado y el análisis sustantivo de los efectos económicos, es complejo.*109</w:t>
      </w:r>
    </w:p>
    <w:p w:rsidR="00000000" w:rsidDel="00000000" w:rsidP="00000000" w:rsidRDefault="00000000" w:rsidRPr="00000000" w14:paraId="0000007D">
      <w:pPr>
        <w:spacing w:line="360" w:lineRule="auto"/>
        <w:jc w:val="both"/>
        <w:rPr>
          <w:color w:val="222222"/>
          <w:highlight w:val="white"/>
        </w:rPr>
      </w:pPr>
      <w:r w:rsidDel="00000000" w:rsidR="00000000" w:rsidRPr="00000000">
        <w:rPr>
          <w:color w:val="222222"/>
          <w:highlight w:val="white"/>
          <w:rtl w:val="0"/>
        </w:rPr>
        <w:t xml:space="preserve">Dado que Wu no hace una afirmación específica sobre las pruebas del caso de monopolización que requerirían una intervención antimonopolio y el remedio extremo de la ruptura estructural, se centra en cambio en la cuestión de las incipientes adquisiciones relacionadas con la tecnología por parte de las empresas tecnológicas. A Wu le preocupa que las adquisiciones que involucran tecnología incipiente y potenciales competidores incipientes puedan tener efectos competitivos negativos si las plataformas tecnológicas establecidas adquieren empresas más pequeñas (p. 123).</w:t>
      </w:r>
    </w:p>
    <w:p w:rsidR="00000000" w:rsidDel="00000000" w:rsidP="00000000" w:rsidRDefault="00000000" w:rsidRPr="00000000" w14:paraId="0000007E">
      <w:pPr>
        <w:spacing w:line="360" w:lineRule="auto"/>
        <w:jc w:val="both"/>
        <w:rPr>
          <w:color w:val="222222"/>
          <w:highlight w:val="white"/>
        </w:rPr>
      </w:pPr>
      <w:r w:rsidDel="00000000" w:rsidR="00000000" w:rsidRPr="00000000">
        <w:rPr>
          <w:color w:val="222222"/>
          <w:highlight w:val="white"/>
          <w:rtl w:val="0"/>
        </w:rPr>
        <w:t xml:space="preserve">Predecir los futuros campeones entre las empresas tecnológicas no es fácil. Si lo fuera, el derecho y el espíritu empresarial no se definirían como un campo distinto debido a la incertidumbre inherente a dichas inversiones. El espíritu empresarial es complicado y las estrategias de salida varían.*110 Pero una solución estructural como la que recomienda Wu perjudicaría la innovación.</w:t>
      </w:r>
    </w:p>
    <w:p w:rsidR="00000000" w:rsidDel="00000000" w:rsidP="00000000" w:rsidRDefault="00000000" w:rsidRPr="00000000" w14:paraId="0000007F">
      <w:pPr>
        <w:spacing w:line="360" w:lineRule="auto"/>
        <w:jc w:val="both"/>
        <w:rPr>
          <w:color w:val="222222"/>
          <w:highlight w:val="white"/>
        </w:rPr>
      </w:pPr>
      <w:r w:rsidDel="00000000" w:rsidR="00000000" w:rsidRPr="00000000">
        <w:rPr>
          <w:color w:val="222222"/>
          <w:highlight w:val="white"/>
          <w:rtl w:val="0"/>
        </w:rPr>
        <w:t xml:space="preserve">Lo que hace que el emprendimiento sea único es que implica un alto riesgo.*111 Los capitalistas de riesgo (VC) tienen una cartera de inversiones para reducir el riesgo porque es poco probable que una sola inversión produzca grandes retornos.*112 Esto es importante dado el marco temporal limitado (generalmente diez años) en los que el capital debe devolverse al final del fondo.*113 Como tal, los capitalistas de riesgo no realizan</w:t>
      </w:r>
    </w:p>
    <w:p w:rsidR="00000000" w:rsidDel="00000000" w:rsidP="00000000" w:rsidRDefault="00000000" w:rsidRPr="00000000" w14:paraId="00000080">
      <w:pPr>
        <w:spacing w:line="360" w:lineRule="auto"/>
        <w:jc w:val="both"/>
        <w:rPr>
          <w:b w:val="1"/>
          <w:color w:val="222222"/>
          <w:highlight w:val="white"/>
        </w:rPr>
      </w:pPr>
      <w:r w:rsidDel="00000000" w:rsidR="00000000" w:rsidRPr="00000000">
        <w:rPr>
          <w:b w:val="1"/>
          <w:color w:val="222222"/>
          <w:highlight w:val="white"/>
          <w:rtl w:val="0"/>
        </w:rPr>
        <w:t xml:space="preserve">Inicio página 1276</w:t>
      </w:r>
    </w:p>
    <w:p w:rsidR="00000000" w:rsidDel="00000000" w:rsidP="00000000" w:rsidRDefault="00000000" w:rsidRPr="00000000" w14:paraId="00000081">
      <w:pPr>
        <w:spacing w:line="360" w:lineRule="auto"/>
        <w:jc w:val="both"/>
        <w:rPr>
          <w:color w:val="222222"/>
          <w:highlight w:val="white"/>
        </w:rPr>
      </w:pPr>
      <w:r w:rsidDel="00000000" w:rsidR="00000000" w:rsidRPr="00000000">
        <w:rPr>
          <w:color w:val="222222"/>
          <w:highlight w:val="white"/>
          <w:rtl w:val="0"/>
        </w:rPr>
        <w:t xml:space="preserve">dinero en más de la mitad de sus inversiones.*114 El capital de riesgo corporativo (CVC) invierte en una cartera de empresas por razones similares.*115 Para protegerse del atraco empresarial, los VC crean una serie de mecanismos legales (convenciones negativas) para asegurar cierto control incluso cuando carecen de control electoral.*116</w:t>
      </w:r>
    </w:p>
    <w:p w:rsidR="00000000" w:rsidDel="00000000" w:rsidP="00000000" w:rsidRDefault="00000000" w:rsidRPr="00000000" w14:paraId="00000082">
      <w:pPr>
        <w:spacing w:line="360" w:lineRule="auto"/>
        <w:jc w:val="both"/>
        <w:rPr>
          <w:color w:val="222222"/>
          <w:highlight w:val="white"/>
        </w:rPr>
      </w:pPr>
      <w:r w:rsidDel="00000000" w:rsidR="00000000" w:rsidRPr="00000000">
        <w:rPr>
          <w:color w:val="222222"/>
          <w:highlight w:val="white"/>
          <w:rtl w:val="0"/>
        </w:rPr>
        <w:t xml:space="preserve">Sería un error suponer que las autoridades antimonopolio podrían descubrir fácilmente qué empresas nacientes podrían ser competidoras, y mucho menos qué empresas podrían desarrollar nuevos mercados. Wu subestima lo difícil que es determinar los próximos grupos de ganadores y perdedores. Con mucha más información que un externo (como una agencia antimonopolio que revisa un acuerdo), incluso los mejores VC y CVC tienen problemas para elegir ganadores y perdedores. El hecho de que una empresa más grande adquiera una nueva empresa no significa que se puedan implementar las mejores tecnologías, personas e ideas para capturar valor de la adquisición.*117 Aunque es posible que una transacción particular pueda crear problemas de competencia, la solución es para abordar negocios específicos con un expediente de hechos suficiente. Atacar en masa todo un modelo de negocio que ha sido la principal forma de salida para los empresarios no sólo en la tecnología basada en plataformas sino también en la biotecnología*118 crearía problemas en toda la economía. Cuando ciertas vías para la salida de una empresa, como la adquisición vertical por parte de empresas más grandes, se cierran mediante límites a la adquisición debido a un régimen antimonopolio demasiado estricto, se perjudica al ecosistema empresarial. Los empresarios se verían disuadidos de crear nuevas empresas si no pudieran crear fácilmente un evento de liquidez para extraer recompensas financieras de su inversión.*119</w:t>
      </w:r>
    </w:p>
    <w:p w:rsidR="00000000" w:rsidDel="00000000" w:rsidP="00000000" w:rsidRDefault="00000000" w:rsidRPr="00000000" w14:paraId="00000083">
      <w:pPr>
        <w:spacing w:after="240" w:before="240" w:line="360" w:lineRule="auto"/>
        <w:jc w:val="both"/>
        <w:rPr>
          <w:color w:val="222222"/>
          <w:highlight w:val="white"/>
        </w:rPr>
      </w:pPr>
      <w:r w:rsidDel="00000000" w:rsidR="00000000" w:rsidRPr="00000000">
        <w:rPr>
          <w:color w:val="222222"/>
          <w:highlight w:val="white"/>
          <w:rtl w:val="0"/>
        </w:rPr>
        <w:t xml:space="preserve">V. La aplicación de la ley Robinson-Patman es la máxima expresión del antimonopolio neobrandeisiano</w:t>
      </w:r>
    </w:p>
    <w:p w:rsidR="00000000" w:rsidDel="00000000" w:rsidP="00000000" w:rsidRDefault="00000000" w:rsidRPr="00000000" w14:paraId="00000084">
      <w:pPr>
        <w:spacing w:line="360" w:lineRule="auto"/>
        <w:jc w:val="both"/>
        <w:rPr>
          <w:color w:val="222222"/>
          <w:highlight w:val="white"/>
        </w:rPr>
      </w:pPr>
      <w:r w:rsidDel="00000000" w:rsidR="00000000" w:rsidRPr="00000000">
        <w:rPr>
          <w:color w:val="222222"/>
          <w:highlight w:val="white"/>
          <w:rtl w:val="0"/>
        </w:rPr>
        <w:t xml:space="preserve">Existe un experimento natural que pone a prueba la hipótesis de Wu sobre cómo sería la legislación antimonopolio con un conjunto diferente de objetivos, que hasta hace relativamente poco divergía fundamentalmente del enfoque de la Escuela de Chicago que se encuentra en la jurisprudencia de la Ley Sherman y Clayton: la Ley Robinson-Patman. Robar</w:t>
      </w:r>
    </w:p>
    <w:p w:rsidR="00000000" w:rsidDel="00000000" w:rsidP="00000000" w:rsidRDefault="00000000" w:rsidRPr="00000000" w14:paraId="00000085">
      <w:pPr>
        <w:spacing w:line="360" w:lineRule="auto"/>
        <w:jc w:val="both"/>
        <w:rPr>
          <w:b w:val="1"/>
          <w:color w:val="222222"/>
          <w:highlight w:val="white"/>
        </w:rPr>
      </w:pPr>
      <w:r w:rsidDel="00000000" w:rsidR="00000000" w:rsidRPr="00000000">
        <w:rPr>
          <w:b w:val="1"/>
          <w:color w:val="222222"/>
          <w:highlight w:val="white"/>
          <w:rtl w:val="0"/>
        </w:rPr>
        <w:t xml:space="preserve">Inicio página 1277</w:t>
      </w:r>
    </w:p>
    <w:p w:rsidR="00000000" w:rsidDel="00000000" w:rsidP="00000000" w:rsidRDefault="00000000" w:rsidRPr="00000000" w14:paraId="00000086">
      <w:pPr>
        <w:spacing w:line="360" w:lineRule="auto"/>
        <w:jc w:val="both"/>
        <w:rPr>
          <w:color w:val="222222"/>
          <w:highlight w:val="white"/>
        </w:rPr>
      </w:pPr>
      <w:r w:rsidDel="00000000" w:rsidR="00000000" w:rsidRPr="00000000">
        <w:rPr>
          <w:color w:val="222222"/>
          <w:highlight w:val="white"/>
          <w:rtl w:val="0"/>
        </w:rPr>
        <w:t xml:space="preserve">La aplicación de la ley inson-Patman puede enseñarnos lo que implicaría un sistema antimonopolio más populista.</w:t>
      </w:r>
    </w:p>
    <w:p w:rsidR="00000000" w:rsidDel="00000000" w:rsidP="00000000" w:rsidRDefault="00000000" w:rsidRPr="00000000" w14:paraId="00000087">
      <w:pPr>
        <w:spacing w:line="360" w:lineRule="auto"/>
        <w:jc w:val="both"/>
        <w:rPr>
          <w:color w:val="222222"/>
          <w:highlight w:val="white"/>
        </w:rPr>
      </w:pPr>
      <w:r w:rsidDel="00000000" w:rsidR="00000000" w:rsidRPr="00000000">
        <w:rPr>
          <w:color w:val="222222"/>
          <w:highlight w:val="white"/>
          <w:rtl w:val="0"/>
        </w:rPr>
        <w:t xml:space="preserve">Si Wu quiere volver al populismo al estilo brandeisiano en materia antimonopolio, esto requiere un cambio en la ley antimonopolio dado el desarrollo actual de la jurisprudencia antimonopolio elaborada por jueces. Pero la crítica neobrandeisiana de Wu y su impulso a favor de una nueva ley deberían basarse en la experiencia negativa de la interpretación y aplicación de la Ley Robinson-Patman.*120</w:t>
      </w:r>
    </w:p>
    <w:p w:rsidR="00000000" w:rsidDel="00000000" w:rsidP="00000000" w:rsidRDefault="00000000" w:rsidRPr="00000000" w14:paraId="00000088">
      <w:pPr>
        <w:spacing w:line="360" w:lineRule="auto"/>
        <w:jc w:val="both"/>
        <w:rPr>
          <w:color w:val="222222"/>
          <w:highlight w:val="white"/>
        </w:rPr>
      </w:pPr>
      <w:r w:rsidDel="00000000" w:rsidR="00000000" w:rsidRPr="00000000">
        <w:rPr>
          <w:color w:val="222222"/>
          <w:highlight w:val="white"/>
          <w:rtl w:val="0"/>
        </w:rPr>
        <w:t xml:space="preserve">A diferencia de otras leyes antimonopolio, la Ley Robinson-Patman fue expresamente proteccionista en su redacción.*121 Además, su efecto económico negativo sobre la eficiencia es inequívoco.*122 Una revisión de los cambios doctrinales y académicos de Robinson-Patman sugiere lo que Chicago hizo bien al cambiar una norma ineficiente que perjudica a los consumidores, especialmente a los pobres. Una revisión de Robinson-Patman y su declive también refleja las limitaciones del análisis económico de la Escuela de Chicago: lo que funcionó con respecto al cambio analítico hacia Robinson-Patman fue una función del consenso económico, a diferencia de una serie de áreas del análisis antimonopolio donde el La literatura económica sugiere que el análisis antimonopolio realizado en Chicago es burdo o potencialmente obsoleto.*123</w:t>
      </w:r>
    </w:p>
    <w:p w:rsidR="00000000" w:rsidDel="00000000" w:rsidP="00000000" w:rsidRDefault="00000000" w:rsidRPr="00000000" w14:paraId="00000089">
      <w:pPr>
        <w:spacing w:line="360" w:lineRule="auto"/>
        <w:jc w:val="both"/>
        <w:rPr>
          <w:color w:val="222222"/>
          <w:highlight w:val="white"/>
        </w:rPr>
      </w:pPr>
      <w:r w:rsidDel="00000000" w:rsidR="00000000" w:rsidRPr="00000000">
        <w:rPr>
          <w:color w:val="222222"/>
          <w:highlight w:val="white"/>
          <w:rtl w:val="0"/>
        </w:rPr>
        <w:t xml:space="preserve">Los académicos han atacado la Ley Robinson-Patman durante décadas debido al daño inequívoco que su aplicación ha creado para los consumidores.*124 Por lo tanto, desde el punto de vista del bienestar del consumidor, la Ley es una abominación. En este sentido, tanto los encargados de hacer cumplir las leyes antimonopolio de izquierda como de derecha tenían una visión compartida de la ley: los aspectos económicos eran desastrosos.*125 Sin embargo, la Ley Robinson-Patman ha estado envuelta en valores “democráticos”.</w:t>
      </w:r>
    </w:p>
    <w:p w:rsidR="00000000" w:rsidDel="00000000" w:rsidP="00000000" w:rsidRDefault="00000000" w:rsidRPr="00000000" w14:paraId="0000008A">
      <w:pPr>
        <w:spacing w:line="360" w:lineRule="auto"/>
        <w:jc w:val="both"/>
        <w:rPr>
          <w:color w:val="222222"/>
          <w:highlight w:val="white"/>
        </w:rPr>
      </w:pPr>
      <w:r w:rsidDel="00000000" w:rsidR="00000000" w:rsidRPr="00000000">
        <w:rPr>
          <w:color w:val="222222"/>
          <w:highlight w:val="white"/>
          <w:rtl w:val="0"/>
        </w:rPr>
        <w:t xml:space="preserve">El origen de la Ley Robinson-Patman126 se basó en la protección de los pequeños minoristas frente a competidores más grandes y eficientes (grandes compradores).127 Originalmente denominada “Ley de Protección de Tiendas Mayoristas”, la Ley no tenía propósitos múltiples similares a los de la Ley Sherman. , de modo que uno podría razonablemente alegar algún tipo de justificación de eficiencia para Robinson-Patman.128 Más bien, la Ley era proteccionismo de un interés especial bajo la apariencia de “justicia”.</w:t>
      </w:r>
    </w:p>
    <w:p w:rsidR="00000000" w:rsidDel="00000000" w:rsidP="00000000" w:rsidRDefault="00000000" w:rsidRPr="00000000" w14:paraId="0000008B">
      <w:pPr>
        <w:spacing w:line="360" w:lineRule="auto"/>
        <w:jc w:val="both"/>
        <w:rPr>
          <w:b w:val="1"/>
          <w:color w:val="222222"/>
          <w:highlight w:val="white"/>
        </w:rPr>
      </w:pPr>
      <w:r w:rsidDel="00000000" w:rsidR="00000000" w:rsidRPr="00000000">
        <w:rPr>
          <w:b w:val="1"/>
          <w:color w:val="222222"/>
          <w:highlight w:val="white"/>
          <w:rtl w:val="0"/>
        </w:rPr>
        <w:t xml:space="preserve">Inicio página 1278</w:t>
      </w:r>
    </w:p>
    <w:p w:rsidR="00000000" w:rsidDel="00000000" w:rsidP="00000000" w:rsidRDefault="00000000" w:rsidRPr="00000000" w14:paraId="0000008C">
      <w:pPr>
        <w:spacing w:line="360" w:lineRule="auto"/>
        <w:jc w:val="both"/>
        <w:rPr>
          <w:color w:val="222222"/>
          <w:highlight w:val="white"/>
        </w:rPr>
      </w:pPr>
      <w:r w:rsidDel="00000000" w:rsidR="00000000" w:rsidRPr="00000000">
        <w:rPr>
          <w:color w:val="222222"/>
          <w:highlight w:val="white"/>
          <w:rtl w:val="0"/>
        </w:rPr>
        <w:t xml:space="preserve">Así, mientras que la Corte Suprema explicó que “[l]as leyes antimonopolio en general, y la Ley Sherman en particular, son la Carta Magna de la libre empresa”,*129 la Ley Robinson-Patman ha sido llamada la “Carta Magna de las Pequeñas Empresas”. .”*130 La Corte Suprema articuló cómo la Ley Robinson Patman abraza la justicia por encima de otros objetivos:</w:t>
      </w:r>
    </w:p>
    <w:p w:rsidR="00000000" w:rsidDel="00000000" w:rsidP="00000000" w:rsidRDefault="00000000" w:rsidRPr="00000000" w14:paraId="0000008D">
      <w:pPr>
        <w:spacing w:line="360" w:lineRule="auto"/>
        <w:jc w:val="both"/>
        <w:rPr>
          <w:color w:val="222222"/>
          <w:highlight w:val="white"/>
        </w:rPr>
      </w:pPr>
      <w:r w:rsidDel="00000000" w:rsidR="00000000" w:rsidRPr="00000000">
        <w:rPr>
          <w:color w:val="222222"/>
          <w:highlight w:val="white"/>
          <w:rtl w:val="0"/>
        </w:rPr>
        <w:t xml:space="preserve">La historia legislativa de la Ley Robinson-Patman deja muy claro que el Congreso consideraba un mal que un gran comprador pudiera obtener una ventaja competitiva sobre un pequeño comprador únicamente debido a la capacidad de compra de cantidades del gran comprador. La Ley Robinson-Patman se aprobó para privar a un gran comprador de tales ventajas. . . . *131</w:t>
      </w:r>
    </w:p>
    <w:p w:rsidR="00000000" w:rsidDel="00000000" w:rsidP="00000000" w:rsidRDefault="00000000" w:rsidRPr="00000000" w14:paraId="0000008E">
      <w:pPr>
        <w:spacing w:line="360" w:lineRule="auto"/>
        <w:jc w:val="both"/>
        <w:rPr>
          <w:color w:val="222222"/>
          <w:highlight w:val="white"/>
        </w:rPr>
      </w:pPr>
      <w:r w:rsidDel="00000000" w:rsidR="00000000" w:rsidRPr="00000000">
        <w:rPr>
          <w:color w:val="222222"/>
          <w:highlight w:val="white"/>
          <w:rtl w:val="0"/>
        </w:rPr>
        <w:t xml:space="preserve">de hecho, el tamaño (y las posibles eficiencias relacionadas con la escala) es lo que hace bajar los precios para los consumidores. Por lo tanto, para proteger a los competidores ineficientes, Robinson Patman requirió una compensación que perjudicó a los consumidores finales.*132 Debido a que Robinson Patman originalmente sirvió para obstaculizar el crecimiento del supermercado más grande, el resultado es que la compensación fue regresiva: aquellos consumidores vulnerables que necesitaban menores Los precios fueron los más perjudicados al elegir un enfoque antimonopolio “justo” para proteger a las pequeñas tiendas.</w:t>
      </w:r>
    </w:p>
    <w:p w:rsidR="00000000" w:rsidDel="00000000" w:rsidP="00000000" w:rsidRDefault="00000000" w:rsidRPr="00000000" w14:paraId="0000008F">
      <w:pPr>
        <w:spacing w:line="360" w:lineRule="auto"/>
        <w:jc w:val="both"/>
        <w:rPr>
          <w:color w:val="222222"/>
          <w:highlight w:val="white"/>
        </w:rPr>
      </w:pPr>
      <w:r w:rsidDel="00000000" w:rsidR="00000000" w:rsidRPr="00000000">
        <w:rPr>
          <w:color w:val="222222"/>
          <w:highlight w:val="white"/>
          <w:rtl w:val="0"/>
        </w:rPr>
        <w:t xml:space="preserve">Este sesgo antigrandes fue pronunciado en décadas de jurisprudencia Robinson-Patman en las que las grandes empresas fueron castigadas simplemente por utilizar el tamaño del comprador para ofrecer reducciones de precios.*133 Por lo tanto, la aplicación de Robinson-Patman fue una respuesta a los temores sobre el tamaño.*134 Como Jefe La jueza Diane Wood señaló recientemente: “Su encaje con la política antimonopolio es incómodo, ya que fue diseñado principalmente para proteger a las pequeñas empresas. . . .”*135 Por esta razón, la Corte Suprema explicó que la Ley Robinson-Patman “tenía como objetivo justificar una conclusión de 'daño a la competencia demostrando daño al competidor víctima de la discriminación'. ”*136</w:t>
      </w:r>
    </w:p>
    <w:p w:rsidR="00000000" w:rsidDel="00000000" w:rsidP="00000000" w:rsidRDefault="00000000" w:rsidRPr="00000000" w14:paraId="00000090">
      <w:pPr>
        <w:spacing w:line="360" w:lineRule="auto"/>
        <w:jc w:val="both"/>
        <w:rPr>
          <w:color w:val="222222"/>
          <w:highlight w:val="white"/>
        </w:rPr>
      </w:pPr>
      <w:r w:rsidDel="00000000" w:rsidR="00000000" w:rsidRPr="00000000">
        <w:rPr>
          <w:color w:val="222222"/>
          <w:highlight w:val="white"/>
          <w:rtl w:val="0"/>
        </w:rPr>
        <w:t xml:space="preserve">Gran parte de la aplicación de la ley por parte de la FTC en las décadas de 1950 y 1960 se centró en las violaciones de Robinson Patman.*137 En general, debido a un estatuto redactado favorablemente que</w:t>
      </w:r>
    </w:p>
    <w:p w:rsidR="00000000" w:rsidDel="00000000" w:rsidP="00000000" w:rsidRDefault="00000000" w:rsidRPr="00000000" w14:paraId="00000091">
      <w:pPr>
        <w:spacing w:line="360" w:lineRule="auto"/>
        <w:jc w:val="both"/>
        <w:rPr>
          <w:b w:val="1"/>
          <w:color w:val="222222"/>
          <w:highlight w:val="white"/>
        </w:rPr>
      </w:pPr>
      <w:r w:rsidDel="00000000" w:rsidR="00000000" w:rsidRPr="00000000">
        <w:rPr>
          <w:b w:val="1"/>
          <w:color w:val="222222"/>
          <w:highlight w:val="white"/>
          <w:rtl w:val="0"/>
        </w:rPr>
        <w:t xml:space="preserve">Inicio página 1279</w:t>
      </w:r>
    </w:p>
    <w:p w:rsidR="00000000" w:rsidDel="00000000" w:rsidP="00000000" w:rsidRDefault="00000000" w:rsidRPr="00000000" w14:paraId="00000092">
      <w:pPr>
        <w:spacing w:line="360" w:lineRule="auto"/>
        <w:jc w:val="both"/>
        <w:rPr>
          <w:color w:val="222222"/>
          <w:highlight w:val="white"/>
        </w:rPr>
      </w:pPr>
      <w:r w:rsidDel="00000000" w:rsidR="00000000" w:rsidRPr="00000000">
        <w:rPr>
          <w:color w:val="222222"/>
          <w:highlight w:val="white"/>
          <w:rtl w:val="0"/>
        </w:rPr>
        <w:t xml:space="preserve">No exigían ninguna demostración de poder de mercado, los demandantes a menudo ganaban estos casos.*138 Pero la Corte Suprema poco a poco fue socavando la jurisprudencia a favor de los demandantes al exigir daño antimonopolio y una demostración de pérdida de bienestar del consumidor, aunque nada en el estatuto exigía ninguna de las dos cosas.* 139 El cambio hacia Robinson-Patman se produjo gradualmente. Incluía una declaración unilateral del Departamento de Justicia de que no aplicaría la Ley Robinson-Patman porque tenía un “impacto nocivo en la competencia”. *140 De manera similar, la FTC señaló que la Ley era proteccionista.*141 En Great Atlantic &amp; Pacific Tea Co. v. FTC, la Corte Suprema comenzó a controlar la aplicación de la Ley Robinson-Patman de modo que no tuviera “un conflicto abierto con los propósitos de otras leyes antimonopolio”. *142 Además, la Corte aplicó el concepto de daño antimonopolio de la Ley Sherman a la Ley para limitar el número de casos Robinson-Patman.*143 En Brooke Group, el Tribunal se aseguró de no derogar la Ley, pero interpretó un objetivo de bienestar del consumidor para RobinsonPatman donde no existía ninguno.*144 Por lo tanto, el Tribunal llevó la interpretación lejos, pero no hasta el punto de provocar una respuesta legislativa.</w:t>
      </w:r>
    </w:p>
    <w:p w:rsidR="00000000" w:rsidDel="00000000" w:rsidP="00000000" w:rsidRDefault="00000000" w:rsidRPr="00000000" w14:paraId="00000093">
      <w:pPr>
        <w:spacing w:line="360" w:lineRule="auto"/>
        <w:jc w:val="both"/>
        <w:rPr>
          <w:color w:val="222222"/>
          <w:highlight w:val="white"/>
        </w:rPr>
      </w:pPr>
      <w:r w:rsidDel="00000000" w:rsidR="00000000" w:rsidRPr="00000000">
        <w:rPr>
          <w:color w:val="222222"/>
          <w:highlight w:val="white"/>
          <w:rtl w:val="0"/>
        </w:rPr>
        <w:t xml:space="preserve">Robinson-Patman creó algunas de las peores decisiones en la historia antimonopolio en el sentido de que perjudicaron a los consumidores.*145 Aquellos consumidores que más se benefician de los precios bajos (los pobres) fueron los más afectados por los precios más altos de los alimentos.*146 En la medida en que Fue una compensación que apoyó a los competidores más pequeños e ineficientes, dichos competidores se beneficiaron de los miembros más vulnerables de la sociedad.</w:t>
      </w:r>
    </w:p>
    <w:p w:rsidR="00000000" w:rsidDel="00000000" w:rsidP="00000000" w:rsidRDefault="00000000" w:rsidRPr="00000000" w14:paraId="00000094">
      <w:pPr>
        <w:spacing w:line="360" w:lineRule="auto"/>
        <w:jc w:val="both"/>
        <w:rPr>
          <w:color w:val="222222"/>
          <w:highlight w:val="white"/>
        </w:rPr>
      </w:pPr>
      <w:r w:rsidDel="00000000" w:rsidR="00000000" w:rsidRPr="00000000">
        <w:rPr>
          <w:color w:val="222222"/>
          <w:highlight w:val="white"/>
          <w:rtl w:val="0"/>
        </w:rPr>
        <w:t xml:space="preserve">Utah Pie personificó el fracaso de Robinson-Patman. En este caso, los competidores nacionales ingresaron al mercado de Salt Lake City, donde Utah Pie tenía dos tercios de la participación de mercado.*147 Como resultado de la competencia, el precio del pastel disminuyó.*148.  Sin embargo, la participación de mercado de Utah Pie disminuyó a poco menos del 50 por ciento.</w:t>
      </w:r>
    </w:p>
    <w:p w:rsidR="00000000" w:rsidDel="00000000" w:rsidP="00000000" w:rsidRDefault="00000000" w:rsidRPr="00000000" w14:paraId="00000095">
      <w:pPr>
        <w:spacing w:line="360" w:lineRule="auto"/>
        <w:jc w:val="both"/>
        <w:rPr>
          <w:b w:val="1"/>
          <w:color w:val="222222"/>
          <w:highlight w:val="white"/>
        </w:rPr>
      </w:pPr>
      <w:r w:rsidDel="00000000" w:rsidR="00000000" w:rsidRPr="00000000">
        <w:rPr>
          <w:b w:val="1"/>
          <w:color w:val="222222"/>
          <w:highlight w:val="white"/>
          <w:rtl w:val="0"/>
        </w:rPr>
        <w:t xml:space="preserve">Inicio página 1280</w:t>
      </w:r>
    </w:p>
    <w:p w:rsidR="00000000" w:rsidDel="00000000" w:rsidP="00000000" w:rsidRDefault="00000000" w:rsidRPr="00000000" w14:paraId="00000096">
      <w:pPr>
        <w:spacing w:line="360" w:lineRule="auto"/>
        <w:jc w:val="both"/>
        <w:rPr>
          <w:color w:val="222222"/>
          <w:highlight w:val="white"/>
        </w:rPr>
      </w:pPr>
      <w:r w:rsidDel="00000000" w:rsidR="00000000" w:rsidRPr="00000000">
        <w:rPr>
          <w:color w:val="222222"/>
          <w:highlight w:val="white"/>
          <w:rtl w:val="0"/>
        </w:rPr>
        <w:t xml:space="preserve">ciento incluso cuando sus ventas y ganancias aumentaron.*149 La Corte Suprema falló a favor de Utah Pie (protección de un competidor) y en contra de la competencia.*150 Peor aún, durante este período la Robinson-Patman fue aplicada penalmente.*151 Por lo tanto, un bajo Un pastel de bajo costo que beneficiara a los consumidores podría potencialmente llevar a un panadero a la cárcel. Ése es el efecto perverso del antimonopolio “político”.</w:t>
      </w:r>
    </w:p>
    <w:p w:rsidR="00000000" w:rsidDel="00000000" w:rsidP="00000000" w:rsidRDefault="00000000" w:rsidRPr="00000000" w14:paraId="00000097">
      <w:pPr>
        <w:spacing w:line="360" w:lineRule="auto"/>
        <w:jc w:val="both"/>
        <w:rPr>
          <w:color w:val="222222"/>
          <w:highlight w:val="white"/>
        </w:rPr>
      </w:pPr>
      <w:r w:rsidDel="00000000" w:rsidR="00000000" w:rsidRPr="00000000">
        <w:rPr>
          <w:color w:val="222222"/>
          <w:highlight w:val="white"/>
          <w:rtl w:val="0"/>
        </w:rPr>
        <w:t xml:space="preserve">CONCLUSIÓN</w:t>
      </w:r>
    </w:p>
    <w:p w:rsidR="00000000" w:rsidDel="00000000" w:rsidP="00000000" w:rsidRDefault="00000000" w:rsidRPr="00000000" w14:paraId="00000098">
      <w:pPr>
        <w:spacing w:line="360" w:lineRule="auto"/>
        <w:jc w:val="both"/>
        <w:rPr>
          <w:color w:val="222222"/>
          <w:highlight w:val="white"/>
        </w:rPr>
      </w:pPr>
      <w:r w:rsidDel="00000000" w:rsidR="00000000" w:rsidRPr="00000000">
        <w:rPr>
          <w:color w:val="222222"/>
          <w:highlight w:val="white"/>
          <w:rtl w:val="0"/>
        </w:rPr>
        <w:t xml:space="preserve">El antimonopolio funciona bien porque es tecnocrático en el sentido de que un objetivo singular (pero flexible dentro de su economía) es administrable institucionalmente. Introducir el mundo de las imperfecciones políticas en un proceso técnico que examina los mercados crearía más distorsiones que afectarían a los consumidores.*152 La legislación antimonopolio funciona bien al abordar los problemas antimonopolio. En la medida en que existen otros problemas relacionados, la respuesta correcta no es crear un sistema antimonopolio que carezca de responsabilidad democrática (porque el antimonopolio se convierte en regulación por la puerta trasera) y que exceda su mandato de los últimos cuarenta años. Más bien, la mejor solución es identificar el problema subyacente y resolverlo con herramientas más efectivas. Si el problema es de redistribución, los impuestos son una mejor opción que las leyes antimonopolio.*153 Si el problema es de privacidad, fortalecer las leyes de privacidad.*154 si el problema es que las instituciones financieras o los reguladores del sector no hacen lo que deben hacer , corregir problemas estructurales con los reguladores del sector. La lucha antimonopolio se ha ido alejando cada vez más de la regulación sectorial*155 y ha pasado a la promoción.*156 El presupuesto de promoción de las agencias antimonopolio es minúsculo, y en la medida en que el problema son las reglas del juego para sectores industriales particulares, Wu se queda corto al no sugerir mayor defensa de la competencia.</w:t>
      </w:r>
    </w:p>
    <w:p w:rsidR="00000000" w:rsidDel="00000000" w:rsidP="00000000" w:rsidRDefault="00000000" w:rsidRPr="00000000" w14:paraId="00000099">
      <w:pPr>
        <w:spacing w:line="360" w:lineRule="auto"/>
        <w:jc w:val="both"/>
        <w:rPr>
          <w:color w:val="222222"/>
          <w:highlight w:val="white"/>
        </w:rPr>
      </w:pPr>
      <w:r w:rsidDel="00000000" w:rsidR="00000000" w:rsidRPr="00000000">
        <w:rPr>
          <w:color w:val="222222"/>
          <w:highlight w:val="white"/>
          <w:rtl w:val="0"/>
        </w:rPr>
        <w:t xml:space="preserve">La preocupación de Wu por las grandes empresas tecnológicas porque son grandes (p. 126) está tan fuera de lugar ahora como lo estuvo antes en la historia antimonopolio. El organismo antimonopolio ha pasado por varios momentos en los que ha reevaluado si cuenta con las herramientas adecuadas para combatir el comportamiento anticompetitivo en los mercados relacionados con la tecnología.*157 Tiene dichas herramientas y puede presentar casos importantes en estos mercados.</w:t>
      </w:r>
    </w:p>
    <w:p w:rsidR="00000000" w:rsidDel="00000000" w:rsidP="00000000" w:rsidRDefault="00000000" w:rsidRPr="00000000" w14:paraId="0000009A">
      <w:pPr>
        <w:spacing w:line="360" w:lineRule="auto"/>
        <w:jc w:val="both"/>
        <w:rPr>
          <w:b w:val="1"/>
          <w:color w:val="222222"/>
          <w:highlight w:val="white"/>
        </w:rPr>
      </w:pPr>
      <w:r w:rsidDel="00000000" w:rsidR="00000000" w:rsidRPr="00000000">
        <w:rPr>
          <w:b w:val="1"/>
          <w:color w:val="222222"/>
          <w:highlight w:val="white"/>
          <w:rtl w:val="0"/>
        </w:rPr>
        <w:t xml:space="preserve">Inicio página 1281</w:t>
      </w:r>
    </w:p>
    <w:p w:rsidR="00000000" w:rsidDel="00000000" w:rsidP="00000000" w:rsidRDefault="00000000" w:rsidRPr="00000000" w14:paraId="0000009B">
      <w:pPr>
        <w:spacing w:line="360" w:lineRule="auto"/>
        <w:jc w:val="both"/>
        <w:rPr>
          <w:color w:val="222222"/>
          <w:highlight w:val="white"/>
        </w:rPr>
      </w:pPr>
      <w:r w:rsidDel="00000000" w:rsidR="00000000" w:rsidRPr="00000000">
        <w:rPr>
          <w:color w:val="222222"/>
          <w:highlight w:val="white"/>
          <w:rtl w:val="0"/>
        </w:rPr>
        <w:t xml:space="preserve">kets.*158 Hace apenas una década nos dijeron que Walmart se estaba haciendo cargo de las compras, que eBay era el mercado en línea más grande o que Facebook era la principal forma en que los usuarios compartían información. Hoy, Uber compite con Lyft, Amazon ha eclipsado a eBay, Facebook es un servicio heredado y los jóvenes utilizan cualquier otro conjunto de aplicaciones para compartir información, como Pinterest, Twitter o Snapchat. En un mundo de cambios continuos, las leyes antimonopolio son lo que permanece constante. tiene las herramientas para vigilar el ejercicio ilegal del poder monopólico y se adapta a los cambios en la teoría y la experiencia empírica económica. Pedirle a la ley antimonopolio que vaya más allá de su capacidad institucional significa que la ley fracasará, porque la preocupación más profunda de Wu es cómo está estructurada la sociedad. Esa estructura puede cambiarse mediante elecciones a la presidencia y al Congreso y mediante cambios en la composición de la Corte Suprema. La historia antimonopolio muestra que es la Corte Suprema la que más cambia las leyes y políticas antimonopolio debido a la naturaleza similar al derecho consuetudinario del antimonopolio.*159</w:t>
      </w:r>
    </w:p>
    <w:p w:rsidR="00000000" w:rsidDel="00000000" w:rsidP="00000000" w:rsidRDefault="00000000" w:rsidRPr="00000000" w14:paraId="0000009C">
      <w:pPr>
        <w:spacing w:line="360" w:lineRule="auto"/>
        <w:jc w:val="both"/>
        <w:rPr>
          <w:b w:val="1"/>
          <w:color w:val="222222"/>
          <w:highlight w:val="white"/>
        </w:rPr>
      </w:pPr>
      <w:r w:rsidDel="00000000" w:rsidR="00000000" w:rsidRPr="00000000">
        <w:rPr>
          <w:b w:val="1"/>
          <w:color w:val="222222"/>
          <w:highlight w:val="white"/>
          <w:rtl w:val="0"/>
        </w:rPr>
        <w:t xml:space="preserve">Notas de página</w:t>
      </w:r>
    </w:p>
    <w:p w:rsidR="00000000" w:rsidDel="00000000" w:rsidP="00000000" w:rsidRDefault="00000000" w:rsidRPr="00000000" w14:paraId="0000009D">
      <w:pPr>
        <w:spacing w:line="360" w:lineRule="auto"/>
        <w:jc w:val="both"/>
        <w:rPr>
          <w:color w:val="222222"/>
          <w:highlight w:val="white"/>
        </w:rPr>
      </w:pPr>
      <w:r w:rsidDel="00000000" w:rsidR="00000000" w:rsidRPr="00000000">
        <w:rPr>
          <w:color w:val="222222"/>
          <w:highlight w:val="white"/>
          <w:rtl w:val="0"/>
        </w:rPr>
        <w:t xml:space="preserve">1* Profesor Julius Silver de Derecho, Ciencia y Tecnología, Facultad de Derecho de Columbia.</w:t>
      </w:r>
    </w:p>
    <w:p w:rsidR="00000000" w:rsidDel="00000000" w:rsidP="00000000" w:rsidRDefault="00000000" w:rsidRPr="00000000" w14:paraId="0000009E">
      <w:pPr>
        <w:spacing w:line="360" w:lineRule="auto"/>
        <w:jc w:val="both"/>
        <w:rPr>
          <w:color w:val="222222"/>
          <w:highlight w:val="white"/>
        </w:rPr>
      </w:pPr>
      <w:r w:rsidDel="00000000" w:rsidR="00000000" w:rsidRPr="00000000">
        <w:rPr>
          <w:color w:val="222222"/>
          <w:highlight w:val="white"/>
          <w:rtl w:val="0"/>
        </w:rPr>
        <w:t xml:space="preserve">2* JACK COLDSMITH &amp; TlM Wü, ¿QUIÉN CONTROLA INTERNET? (2006); TlM Wü, Los comerciantes de atención (2016); Tim Wu, The Master Switch: The Rise and Fall of Information Empires (2010) [en adelante Wu, The Master Switch]; Tim Wu, Neutralidad de la red, Discriminación de banda ancha, 2 J. ON TELECOMM. Y alta tecnología. L. 141 (2003).</w:t>
      </w:r>
    </w:p>
    <w:p w:rsidR="00000000" w:rsidDel="00000000" w:rsidP="00000000" w:rsidRDefault="00000000" w:rsidRPr="00000000" w14:paraId="0000009F">
      <w:pPr>
        <w:spacing w:line="360" w:lineRule="auto"/>
        <w:jc w:val="both"/>
        <w:rPr>
          <w:color w:val="222222"/>
          <w:highlight w:val="white"/>
        </w:rPr>
      </w:pPr>
      <w:r w:rsidDel="00000000" w:rsidR="00000000" w:rsidRPr="00000000">
        <w:rPr>
          <w:color w:val="222222"/>
          <w:highlight w:val="white"/>
          <w:rtl w:val="0"/>
        </w:rPr>
        <w:t xml:space="preserve">3* Véase William F. Baxter, Separation of Powers, Prosecutorial Discretion, and the “Common Law” Nature of Antitrust Law, 60 Tex. L. Rev. 661, 666 (1982).</w:t>
      </w:r>
    </w:p>
    <w:p w:rsidR="00000000" w:rsidDel="00000000" w:rsidP="00000000" w:rsidRDefault="00000000" w:rsidRPr="00000000" w14:paraId="000000A0">
      <w:pPr>
        <w:spacing w:line="360" w:lineRule="auto"/>
        <w:jc w:val="both"/>
        <w:rPr>
          <w:color w:val="222222"/>
          <w:highlight w:val="white"/>
        </w:rPr>
      </w:pPr>
      <w:r w:rsidDel="00000000" w:rsidR="00000000" w:rsidRPr="00000000">
        <w:rPr>
          <w:color w:val="222222"/>
          <w:highlight w:val="white"/>
          <w:rtl w:val="0"/>
        </w:rPr>
        <w:t xml:space="preserve">4* Véase, por ejemplo, C. Scott Hemphill y Nancy L. Rose, Mergers that Harm Sellers, 127 Yale LJ 2078 (2018); Herbert Hovenkamp y Carl Shapiro, Fusiones horizontales, estructura de mercado y cargas de la prueba, 127 Yale LJ 1996 (2018).</w:t>
      </w:r>
    </w:p>
    <w:p w:rsidR="00000000" w:rsidDel="00000000" w:rsidP="00000000" w:rsidRDefault="00000000" w:rsidRPr="00000000" w14:paraId="000000A1">
      <w:pPr>
        <w:spacing w:line="360" w:lineRule="auto"/>
        <w:jc w:val="both"/>
        <w:rPr>
          <w:color w:val="222222"/>
          <w:highlight w:val="white"/>
        </w:rPr>
      </w:pPr>
      <w:r w:rsidDel="00000000" w:rsidR="00000000" w:rsidRPr="00000000">
        <w:rPr>
          <w:color w:val="222222"/>
          <w:highlight w:val="white"/>
          <w:rtl w:val="0"/>
        </w:rPr>
        <w:t xml:space="preserve">5* Ver pág. 17; Robert Pitofsky, El contenido político de las leyes antimonopolio, 127 U. Pa. L. Rev. 1051 (1979).</w:t>
      </w:r>
    </w:p>
    <w:p w:rsidR="00000000" w:rsidDel="00000000" w:rsidP="00000000" w:rsidRDefault="00000000" w:rsidRPr="00000000" w14:paraId="000000A2">
      <w:pPr>
        <w:spacing w:line="360" w:lineRule="auto"/>
        <w:jc w:val="both"/>
        <w:rPr>
          <w:color w:val="222222"/>
          <w:highlight w:val="white"/>
        </w:rPr>
      </w:pPr>
      <w:r w:rsidDel="00000000" w:rsidR="00000000" w:rsidRPr="00000000">
        <w:rPr>
          <w:color w:val="222222"/>
          <w:highlight w:val="white"/>
          <w:rtl w:val="0"/>
        </w:rPr>
        <w:t xml:space="preserve">6* Pitofsky, supra nota 5, en 1051.</w:t>
      </w:r>
    </w:p>
    <w:p w:rsidR="00000000" w:rsidDel="00000000" w:rsidP="00000000" w:rsidRDefault="00000000" w:rsidRPr="00000000" w14:paraId="000000A3">
      <w:pPr>
        <w:spacing w:line="360" w:lineRule="auto"/>
        <w:jc w:val="both"/>
        <w:rPr>
          <w:color w:val="222222"/>
          <w:highlight w:val="white"/>
        </w:rPr>
      </w:pPr>
      <w:r w:rsidDel="00000000" w:rsidR="00000000" w:rsidRPr="00000000">
        <w:rPr>
          <w:color w:val="222222"/>
          <w:highlight w:val="white"/>
          <w:rtl w:val="0"/>
        </w:rPr>
        <w:t xml:space="preserve">7* Ídem.</w:t>
      </w:r>
    </w:p>
    <w:p w:rsidR="00000000" w:rsidDel="00000000" w:rsidP="00000000" w:rsidRDefault="00000000" w:rsidRPr="00000000" w14:paraId="000000A4">
      <w:pPr>
        <w:spacing w:line="360" w:lineRule="auto"/>
        <w:jc w:val="both"/>
        <w:rPr>
          <w:color w:val="222222"/>
          <w:highlight w:val="white"/>
        </w:rPr>
      </w:pPr>
      <w:r w:rsidDel="00000000" w:rsidR="00000000" w:rsidRPr="00000000">
        <w:rPr>
          <w:color w:val="222222"/>
          <w:highlight w:val="white"/>
          <w:rtl w:val="0"/>
        </w:rPr>
        <w:t xml:space="preserve">8* cédula. </w:t>
      </w:r>
    </w:p>
    <w:p w:rsidR="00000000" w:rsidDel="00000000" w:rsidP="00000000" w:rsidRDefault="00000000" w:rsidRPr="00000000" w14:paraId="000000A5">
      <w:pPr>
        <w:spacing w:line="360" w:lineRule="auto"/>
        <w:jc w:val="both"/>
        <w:rPr>
          <w:color w:val="222222"/>
          <w:highlight w:val="white"/>
        </w:rPr>
      </w:pPr>
      <w:r w:rsidDel="00000000" w:rsidR="00000000" w:rsidRPr="00000000">
        <w:rPr>
          <w:color w:val="222222"/>
          <w:highlight w:val="white"/>
          <w:rtl w:val="0"/>
        </w:rPr>
        <w:t xml:space="preserve">9* Véanse págs. 53-58, 135-39.</w:t>
      </w:r>
    </w:p>
    <w:p w:rsidR="00000000" w:rsidDel="00000000" w:rsidP="00000000" w:rsidRDefault="00000000" w:rsidRPr="00000000" w14:paraId="000000A6">
      <w:pPr>
        <w:spacing w:line="360" w:lineRule="auto"/>
        <w:jc w:val="both"/>
        <w:rPr>
          <w:color w:val="222222"/>
          <w:highlight w:val="white"/>
        </w:rPr>
      </w:pPr>
      <w:r w:rsidDel="00000000" w:rsidR="00000000" w:rsidRPr="00000000">
        <w:rPr>
          <w:color w:val="222222"/>
          <w:highlight w:val="white"/>
          <w:rtl w:val="0"/>
        </w:rPr>
        <w:t xml:space="preserve">10* págs. 127-39; Steven Croley, Grupos de interés y elección pública, en Research Handbook on Public Choice and Public Law 49, 72 (Daniel A. Farber y Anne Joseph O'Connell eds., 2010); George J. Stigler, La teoría de la regulación económica, 2 Bell J. Econ. y gestión. Ciencia. 3, 3 (1971) (“Una tesis central de este artículo es que, por regla general, la regulación es adquirida por la industria y está diseñada y operada principalmente para su beneficio.”); D. Daniel Sokol, Explicando la importancia de la elección pública para la ley, 109 Mich. L. Rev. 1029 (2011) (revisión de Maxwell L. Stearns y Todd J. Zywicki, Conceptos y aplicaciones de elección pública en derecho (2009)).</w:t>
      </w:r>
    </w:p>
    <w:p w:rsidR="00000000" w:rsidDel="00000000" w:rsidP="00000000" w:rsidRDefault="00000000" w:rsidRPr="00000000" w14:paraId="000000A7">
      <w:pPr>
        <w:spacing w:line="360" w:lineRule="auto"/>
        <w:jc w:val="both"/>
        <w:rPr>
          <w:color w:val="222222"/>
          <w:highlight w:val="white"/>
        </w:rPr>
      </w:pPr>
      <w:r w:rsidDel="00000000" w:rsidR="00000000" w:rsidRPr="00000000">
        <w:rPr>
          <w:color w:val="222222"/>
          <w:highlight w:val="white"/>
          <w:rtl w:val="0"/>
        </w:rPr>
        <w:t xml:space="preserve">11* WU, The Master Switch, supra nota 2, en 307-08 (“Una y otra vez en las historias que he contado, el estado ha demostrado ser un árbitro inferior de lo que es bueno para las industrias de la información. El papel del gobierno federal en la radio y la televisión desde los años 1920 hasta los años 1960, por ejemplo, fueron nada menos que una vergüenza”).</w:t>
      </w:r>
    </w:p>
    <w:p w:rsidR="00000000" w:rsidDel="00000000" w:rsidP="00000000" w:rsidRDefault="00000000" w:rsidRPr="00000000" w14:paraId="000000A8">
      <w:pPr>
        <w:spacing w:line="360" w:lineRule="auto"/>
        <w:jc w:val="both"/>
        <w:rPr>
          <w:color w:val="222222"/>
          <w:highlight w:val="white"/>
        </w:rPr>
      </w:pPr>
      <w:r w:rsidDel="00000000" w:rsidR="00000000" w:rsidRPr="00000000">
        <w:rPr>
          <w:color w:val="222222"/>
          <w:highlight w:val="white"/>
          <w:rtl w:val="0"/>
        </w:rPr>
        <w:t xml:space="preserve">12* William E. Kovacic, El ADN intelectual de la moderna ley estadounidense de competencia para la conducta empresarial dominante: la doble hélice de Chicago/Harvard, columna de 2007. Autobús. L. Rev. 1. Sin embargo, Pitofsky cometió algunos errores, como permitir la consolidación en algunas industrias donde puede haber habido efectos anticompetitivos.</w:t>
      </w:r>
    </w:p>
    <w:p w:rsidR="00000000" w:rsidDel="00000000" w:rsidP="00000000" w:rsidRDefault="00000000" w:rsidRPr="00000000" w14:paraId="000000A9">
      <w:pPr>
        <w:spacing w:line="360" w:lineRule="auto"/>
        <w:jc w:val="both"/>
        <w:rPr>
          <w:color w:val="222222"/>
          <w:highlight w:val="white"/>
        </w:rPr>
      </w:pPr>
      <w:r w:rsidDel="00000000" w:rsidR="00000000" w:rsidRPr="00000000">
        <w:rPr>
          <w:color w:val="222222"/>
          <w:highlight w:val="white"/>
          <w:rtl w:val="0"/>
        </w:rPr>
        <w:t xml:space="preserve">13* C. Scott Hemphill y Tim Wu, Exclusión paralela, 122 Yale LJ 1182 (2013).</w:t>
      </w:r>
    </w:p>
    <w:p w:rsidR="00000000" w:rsidDel="00000000" w:rsidP="00000000" w:rsidRDefault="00000000" w:rsidRPr="00000000" w14:paraId="000000AA">
      <w:pPr>
        <w:spacing w:line="360" w:lineRule="auto"/>
        <w:jc w:val="both"/>
        <w:rPr>
          <w:color w:val="222222"/>
          <w:highlight w:val="white"/>
        </w:rPr>
      </w:pPr>
      <w:r w:rsidDel="00000000" w:rsidR="00000000" w:rsidRPr="00000000">
        <w:rPr>
          <w:color w:val="222222"/>
          <w:highlight w:val="white"/>
          <w:rtl w:val="0"/>
        </w:rPr>
        <w:t xml:space="preserve">14* Maureen K. Ohlhausen y Alexander P. Okuliar, Competencia, protección del consumidor y el derecho [enfoque] a la privacidad, 80 AñTITRUST LJ 121 (2015).</w:t>
      </w:r>
    </w:p>
    <w:p w:rsidR="00000000" w:rsidDel="00000000" w:rsidP="00000000" w:rsidRDefault="00000000" w:rsidRPr="00000000" w14:paraId="000000AB">
      <w:pPr>
        <w:spacing w:line="360" w:lineRule="auto"/>
        <w:jc w:val="both"/>
        <w:rPr>
          <w:color w:val="222222"/>
          <w:highlight w:val="white"/>
        </w:rPr>
      </w:pPr>
      <w:r w:rsidDel="00000000" w:rsidR="00000000" w:rsidRPr="00000000">
        <w:rPr>
          <w:color w:val="222222"/>
          <w:highlight w:val="white"/>
          <w:rtl w:val="0"/>
        </w:rPr>
        <w:t xml:space="preserve">15* Véase Dennis W. Carlton &amp; Randal C. Picker, Antimonopolio y Regulación, en Regulación Económica y Reforma ITS 25 (Ñancy L. Rose ed., 2014).</w:t>
      </w:r>
    </w:p>
    <w:p w:rsidR="00000000" w:rsidDel="00000000" w:rsidP="00000000" w:rsidRDefault="00000000" w:rsidRPr="00000000" w14:paraId="000000AC">
      <w:pPr>
        <w:spacing w:line="360" w:lineRule="auto"/>
        <w:jc w:val="both"/>
        <w:rPr>
          <w:color w:val="222222"/>
          <w:highlight w:val="white"/>
        </w:rPr>
      </w:pPr>
      <w:r w:rsidDel="00000000" w:rsidR="00000000" w:rsidRPr="00000000">
        <w:rPr>
          <w:color w:val="222222"/>
          <w:highlight w:val="white"/>
          <w:rtl w:val="0"/>
        </w:rPr>
        <w:t xml:space="preserve">16* Quizás esto se deba a que implícitamente Wu entiende que la justicia es indeterminada. Véase Louis Kaplow y Steven Shavell, Equidad versus bienestar, 114 Harv. L. Rev. 961, 969-70 (2001).</w:t>
      </w:r>
    </w:p>
    <w:p w:rsidR="00000000" w:rsidDel="00000000" w:rsidP="00000000" w:rsidRDefault="00000000" w:rsidRPr="00000000" w14:paraId="000000AD">
      <w:pPr>
        <w:spacing w:line="360" w:lineRule="auto"/>
        <w:jc w:val="both"/>
        <w:rPr>
          <w:color w:val="222222"/>
          <w:highlight w:val="white"/>
        </w:rPr>
      </w:pPr>
      <w:r w:rsidDel="00000000" w:rsidR="00000000" w:rsidRPr="00000000">
        <w:rPr>
          <w:color w:val="222222"/>
          <w:highlight w:val="white"/>
          <w:rtl w:val="0"/>
        </w:rPr>
        <w:t xml:space="preserve">17* Véase Herbert Hovenkamp, ¿Está en peligro el principio de bienestar del consumidor antimonopolio?, J. Corp. L. (de próxima publicación) (manuscrito en 35) (archivado en Michigan Law Review).</w:t>
      </w:r>
    </w:p>
    <w:p w:rsidR="00000000" w:rsidDel="00000000" w:rsidP="00000000" w:rsidRDefault="00000000" w:rsidRPr="00000000" w14:paraId="000000AE">
      <w:pPr>
        <w:spacing w:line="360" w:lineRule="auto"/>
        <w:jc w:val="both"/>
        <w:rPr>
          <w:color w:val="222222"/>
          <w:highlight w:val="white"/>
        </w:rPr>
      </w:pPr>
      <w:r w:rsidDel="00000000" w:rsidR="00000000" w:rsidRPr="00000000">
        <w:rPr>
          <w:color w:val="222222"/>
          <w:highlight w:val="white"/>
          <w:rtl w:val="0"/>
        </w:rPr>
        <w:t xml:space="preserve">18* Compare el relato de Wu sobre este punto con Daniel A. Crane, Antitrust and Democracy: A Case Study from German Fascism 19 (Univ. of Michigan. Law &amp; Econ. Research Paper Series, Paper Ño. 18-009, 2018), https ://papers.ssrn.com/sol3/papers.cfm?abstract_id=3164467 (archivado en Michigan Law Review) (“[L]o que es bueno para los consumidores es bueno para la democracia”).</w:t>
      </w:r>
    </w:p>
    <w:p w:rsidR="00000000" w:rsidDel="00000000" w:rsidP="00000000" w:rsidRDefault="00000000" w:rsidRPr="00000000" w14:paraId="000000AF">
      <w:pPr>
        <w:spacing w:line="360" w:lineRule="auto"/>
        <w:jc w:val="both"/>
        <w:rPr>
          <w:color w:val="222222"/>
          <w:highlight w:val="white"/>
        </w:rPr>
      </w:pPr>
      <w:r w:rsidDel="00000000" w:rsidR="00000000" w:rsidRPr="00000000">
        <w:rPr>
          <w:color w:val="222222"/>
          <w:highlight w:val="white"/>
          <w:rtl w:val="0"/>
        </w:rPr>
        <w:t xml:space="preserve">19* Véase Hans B. Thorelli, The Federal Antitrust Policy 228-29 (1954) (“[Al] adoptar el estándar del derecho consuetudinario, el Congreso esperaba que los tribunales no sólo aplicaran un conjunto de doctrinas un tanto vagas, sino que también al hacerlo hacer uso de esa 'cierta técnica de razonamiento judicial' característica de los tribunales de derecho consuetudinario”).</w:t>
      </w:r>
    </w:p>
    <w:p w:rsidR="00000000" w:rsidDel="00000000" w:rsidP="00000000" w:rsidRDefault="00000000" w:rsidRPr="00000000" w14:paraId="000000B0">
      <w:pPr>
        <w:spacing w:line="360" w:lineRule="auto"/>
        <w:jc w:val="both"/>
        <w:rPr>
          <w:color w:val="222222"/>
          <w:highlight w:val="white"/>
        </w:rPr>
      </w:pPr>
      <w:r w:rsidDel="00000000" w:rsidR="00000000" w:rsidRPr="00000000">
        <w:rPr>
          <w:color w:val="222222"/>
          <w:highlight w:val="white"/>
          <w:rtl w:val="0"/>
        </w:rPr>
        <w:t xml:space="preserve">20* Lars Ñoah, Actos habilitantes de agencias de interpretación: metáforas fuera de lugar en el derecho administrativo, 41 WM. Y Mary L. Rev. 1463, 1473 (2000).</w:t>
      </w:r>
    </w:p>
    <w:p w:rsidR="00000000" w:rsidDel="00000000" w:rsidP="00000000" w:rsidRDefault="00000000" w:rsidRPr="00000000" w14:paraId="000000B1">
      <w:pPr>
        <w:spacing w:line="360" w:lineRule="auto"/>
        <w:jc w:val="both"/>
        <w:rPr>
          <w:color w:val="222222"/>
          <w:highlight w:val="white"/>
        </w:rPr>
      </w:pPr>
      <w:r w:rsidDel="00000000" w:rsidR="00000000" w:rsidRPr="00000000">
        <w:rPr>
          <w:color w:val="222222"/>
          <w:highlight w:val="white"/>
          <w:rtl w:val="0"/>
        </w:rPr>
        <w:t xml:space="preserve">21* 288 Estados Unidos 344 (1933).</w:t>
      </w:r>
    </w:p>
    <w:p w:rsidR="00000000" w:rsidDel="00000000" w:rsidP="00000000" w:rsidRDefault="00000000" w:rsidRPr="00000000" w14:paraId="000000B2">
      <w:pPr>
        <w:spacing w:line="360" w:lineRule="auto"/>
        <w:jc w:val="both"/>
        <w:rPr>
          <w:color w:val="222222"/>
          <w:highlight w:val="white"/>
        </w:rPr>
      </w:pPr>
      <w:r w:rsidDel="00000000" w:rsidR="00000000" w:rsidRPr="00000000">
        <w:rPr>
          <w:color w:val="222222"/>
          <w:highlight w:val="white"/>
          <w:rtl w:val="0"/>
        </w:rPr>
        <w:t xml:space="preserve">22* Carbón de los Apalaches, 288 EE.UU. en 359-60. Pero véase Thomas C. Arthur, Farewell to the Sea ofD oubt: Jettisoning the Constitutional Sherman Act, 74 Calif. L. Rev. 263, 292-328 (1986) (criticando esta conceptualización).</w:t>
      </w:r>
    </w:p>
    <w:p w:rsidR="00000000" w:rsidDel="00000000" w:rsidP="00000000" w:rsidRDefault="00000000" w:rsidRPr="00000000" w14:paraId="000000B3">
      <w:pPr>
        <w:spacing w:line="360" w:lineRule="auto"/>
        <w:jc w:val="both"/>
        <w:rPr>
          <w:color w:val="222222"/>
          <w:highlight w:val="white"/>
        </w:rPr>
      </w:pPr>
      <w:r w:rsidDel="00000000" w:rsidR="00000000" w:rsidRPr="00000000">
        <w:rPr>
          <w:color w:val="222222"/>
          <w:highlight w:val="white"/>
          <w:rtl w:val="0"/>
        </w:rPr>
        <w:t xml:space="preserve">23* Burnet v. Coronado Oil &amp; Gas Co., 285 US 393, 405-07 (1932) (Brandeis, J., disidente) (“Stare decisis no es t... [una] orden inexorable... Stare La decisión suele ser la política inteligente, porque en la mayoría de los asuntos es más importante que se resuelva la norma de derecho aplicable que que se resuelva correctamente, incluso cuando el error es un asunto de grave preocupación, siempre que se pueda corregir. legislación, pero en casos que involucran la Constitución Federal, donde la corrección a través de la acción legislativa es prácticamente imposible, este Tribunal a menudo ha anulado sus decisiones anteriores (tercera cursiva agregada) (citas internas omitidas)).</w:t>
      </w:r>
    </w:p>
    <w:p w:rsidR="00000000" w:rsidDel="00000000" w:rsidP="00000000" w:rsidRDefault="00000000" w:rsidRPr="00000000" w14:paraId="000000B4">
      <w:pPr>
        <w:spacing w:line="360" w:lineRule="auto"/>
        <w:jc w:val="both"/>
        <w:rPr>
          <w:color w:val="222222"/>
          <w:highlight w:val="white"/>
        </w:rPr>
      </w:pPr>
      <w:r w:rsidDel="00000000" w:rsidR="00000000" w:rsidRPr="00000000">
        <w:rPr>
          <w:color w:val="222222"/>
          <w:highlight w:val="white"/>
          <w:rtl w:val="0"/>
        </w:rPr>
        <w:t xml:space="preserve">24* Barak Orbach, Antitrust Stare Decisis, Antitrust Source, octubre de 2015, en 1, 1-3 (citando a Kimble v. Marvel Entm't, LLC, 135 S. Ct. 2401 (2015)).</w:t>
      </w:r>
    </w:p>
    <w:p w:rsidR="00000000" w:rsidDel="00000000" w:rsidP="00000000" w:rsidRDefault="00000000" w:rsidRPr="00000000" w14:paraId="000000B5">
      <w:pPr>
        <w:spacing w:line="360" w:lineRule="auto"/>
        <w:jc w:val="both"/>
        <w:rPr>
          <w:color w:val="222222"/>
          <w:highlight w:val="white"/>
        </w:rPr>
      </w:pPr>
      <w:r w:rsidDel="00000000" w:rsidR="00000000" w:rsidRPr="00000000">
        <w:rPr>
          <w:color w:val="222222"/>
          <w:highlight w:val="white"/>
          <w:rtl w:val="0"/>
        </w:rPr>
        <w:t xml:space="preserve">25* State Oil Co. v. Khan, 522 US 3, 20-21 (1997) (citando a Ñat'l Soc'y of Profl Eng'rs v. United States, 435 US 679, 688 (1978)).</w:t>
      </w:r>
    </w:p>
    <w:p w:rsidR="00000000" w:rsidDel="00000000" w:rsidP="00000000" w:rsidRDefault="00000000" w:rsidRPr="00000000" w14:paraId="000000B6">
      <w:pPr>
        <w:spacing w:line="360" w:lineRule="auto"/>
        <w:jc w:val="both"/>
        <w:rPr>
          <w:color w:val="222222"/>
          <w:highlight w:val="white"/>
        </w:rPr>
      </w:pPr>
      <w:r w:rsidDel="00000000" w:rsidR="00000000" w:rsidRPr="00000000">
        <w:rPr>
          <w:color w:val="222222"/>
          <w:highlight w:val="white"/>
          <w:rtl w:val="0"/>
        </w:rPr>
        <w:t xml:space="preserve">26* 135 S.Ct. 2401, 2412-13 (2015)</w:t>
      </w:r>
    </w:p>
    <w:p w:rsidR="00000000" w:rsidDel="00000000" w:rsidP="00000000" w:rsidRDefault="00000000" w:rsidRPr="00000000" w14:paraId="000000B7">
      <w:pPr>
        <w:spacing w:line="360" w:lineRule="auto"/>
        <w:jc w:val="both"/>
        <w:rPr>
          <w:color w:val="222222"/>
          <w:highlight w:val="white"/>
        </w:rPr>
      </w:pPr>
      <w:r w:rsidDel="00000000" w:rsidR="00000000" w:rsidRPr="00000000">
        <w:rPr>
          <w:color w:val="222222"/>
          <w:highlight w:val="white"/>
          <w:rtl w:val="0"/>
        </w:rPr>
        <w:t xml:space="preserve">27* D. Daniel Sokol, Rethinking the Efficiency of These Common Law, 95 NoTRE Dame L. Rev. (próximamente en 2020) (en los archivos de Michigan Law Review).</w:t>
      </w:r>
    </w:p>
    <w:p w:rsidR="00000000" w:rsidDel="00000000" w:rsidP="00000000" w:rsidRDefault="00000000" w:rsidRPr="00000000" w14:paraId="000000B8">
      <w:pPr>
        <w:spacing w:line="360" w:lineRule="auto"/>
        <w:jc w:val="both"/>
        <w:rPr>
          <w:color w:val="222222"/>
          <w:highlight w:val="white"/>
        </w:rPr>
      </w:pPr>
      <w:r w:rsidDel="00000000" w:rsidR="00000000" w:rsidRPr="00000000">
        <w:rPr>
          <w:color w:val="222222"/>
          <w:highlight w:val="white"/>
          <w:rtl w:val="0"/>
        </w:rPr>
        <w:t xml:space="preserve">28* Ley de Mejoras Antimonopolio Hart-Scott-Rodino de 1976, Pub. L. Ño. 94-435, 90 Estad. 1383 (versión actual en 15 USC § 18a (2012)).</w:t>
      </w:r>
    </w:p>
    <w:p w:rsidR="00000000" w:rsidDel="00000000" w:rsidP="00000000" w:rsidRDefault="00000000" w:rsidRPr="00000000" w14:paraId="000000B9">
      <w:pPr>
        <w:spacing w:line="360" w:lineRule="auto"/>
        <w:jc w:val="both"/>
        <w:rPr>
          <w:color w:val="222222"/>
          <w:highlight w:val="white"/>
        </w:rPr>
      </w:pPr>
      <w:r w:rsidDel="00000000" w:rsidR="00000000" w:rsidRPr="00000000">
        <w:rPr>
          <w:color w:val="222222"/>
          <w:highlight w:val="white"/>
          <w:rtl w:val="0"/>
        </w:rPr>
        <w:t xml:space="preserve">29* Ley de reforma y mejora de las sanciones penales antimonopolio de 2004, Pub. L. Ño. 108 237, 118 Estat. 661, 665-69; Ley de Ejecución de Multas Penales de 1984, Pub. L. Ño. 98-596, 98 Estad. 3134, recreada en la Ley de Mejoras de Multas Penales de 1987, Pub. L. Ño. 100-185, 101 estadísticas. 1279 (codificada según enmendada en 18 USC § 3571(d) (2000)); Ley de Procedimientos y Sanciones Antimonopolio, Pub. L. Ño. 93-528, § 5, 88 Stat. 1706, 1709 (1974).</w:t>
      </w:r>
    </w:p>
    <w:p w:rsidR="00000000" w:rsidDel="00000000" w:rsidP="00000000" w:rsidRDefault="00000000" w:rsidRPr="00000000" w14:paraId="000000BA">
      <w:pPr>
        <w:spacing w:line="360" w:lineRule="auto"/>
        <w:jc w:val="both"/>
        <w:rPr>
          <w:color w:val="222222"/>
          <w:highlight w:val="white"/>
        </w:rPr>
      </w:pPr>
      <w:r w:rsidDel="00000000" w:rsidR="00000000" w:rsidRPr="00000000">
        <w:rPr>
          <w:color w:val="222222"/>
          <w:highlight w:val="white"/>
          <w:rtl w:val="0"/>
        </w:rPr>
        <w:t xml:space="preserve">30* Pub. L. Ño. 74-692, 49 Estad. 1526 (1936) (codificado en 15 USC § 13 (2012)).</w:t>
      </w:r>
    </w:p>
    <w:p w:rsidR="00000000" w:rsidDel="00000000" w:rsidP="00000000" w:rsidRDefault="00000000" w:rsidRPr="00000000" w14:paraId="000000BB">
      <w:pPr>
        <w:spacing w:line="360" w:lineRule="auto"/>
        <w:jc w:val="both"/>
        <w:rPr>
          <w:color w:val="222222"/>
          <w:highlight w:val="white"/>
        </w:rPr>
      </w:pPr>
      <w:r w:rsidDel="00000000" w:rsidR="00000000" w:rsidRPr="00000000">
        <w:rPr>
          <w:color w:val="222222"/>
          <w:highlight w:val="white"/>
          <w:rtl w:val="0"/>
        </w:rPr>
        <w:t xml:space="preserve">31* D. Daniel Sokol, Analizando a Robinson-Patman, 83 Geo. Wash. L. Rev. 2064, 2065-69 (2015).</w:t>
      </w:r>
    </w:p>
    <w:p w:rsidR="00000000" w:rsidDel="00000000" w:rsidP="00000000" w:rsidRDefault="00000000" w:rsidRPr="00000000" w14:paraId="000000BC">
      <w:pPr>
        <w:spacing w:line="360" w:lineRule="auto"/>
        <w:jc w:val="both"/>
        <w:rPr>
          <w:color w:val="222222"/>
          <w:highlight w:val="white"/>
        </w:rPr>
      </w:pPr>
      <w:r w:rsidDel="00000000" w:rsidR="00000000" w:rsidRPr="00000000">
        <w:rPr>
          <w:color w:val="222222"/>
          <w:highlight w:val="white"/>
          <w:rtl w:val="0"/>
        </w:rPr>
        <w:t xml:space="preserve">32* págs. 19-23. Quiero agradecer a Dale Collins por llamar mi atención sobre la cuestión de los cambios más amplios en la economía política y proporcionarme mis datos y fuentes iniciales (desde que fueron revisados) para los primeros tres períodos.</w:t>
      </w:r>
    </w:p>
    <w:p w:rsidR="00000000" w:rsidDel="00000000" w:rsidP="00000000" w:rsidRDefault="00000000" w:rsidRPr="00000000" w14:paraId="000000BD">
      <w:pPr>
        <w:spacing w:line="360" w:lineRule="auto"/>
        <w:jc w:val="both"/>
        <w:rPr>
          <w:color w:val="222222"/>
          <w:highlight w:val="white"/>
        </w:rPr>
      </w:pPr>
      <w:r w:rsidDel="00000000" w:rsidR="00000000" w:rsidRPr="00000000">
        <w:rPr>
          <w:color w:val="222222"/>
          <w:highlight w:val="white"/>
          <w:rtl w:val="0"/>
        </w:rPr>
        <w:t xml:space="preserve">33* Carl Shapiro, Antimonopolio en tiempos de populismo, 61 IñT'l J. Indus. Org. 714, 716-17, 721-37 (2018) (explora los datos y critica los ataques populistas).</w:t>
      </w:r>
    </w:p>
    <w:p w:rsidR="00000000" w:rsidDel="00000000" w:rsidP="00000000" w:rsidRDefault="00000000" w:rsidRPr="00000000" w14:paraId="000000BE">
      <w:pPr>
        <w:spacing w:line="360" w:lineRule="auto"/>
        <w:jc w:val="both"/>
        <w:rPr>
          <w:color w:val="222222"/>
          <w:highlight w:val="white"/>
        </w:rPr>
      </w:pPr>
      <w:r w:rsidDel="00000000" w:rsidR="00000000" w:rsidRPr="00000000">
        <w:rPr>
          <w:color w:val="222222"/>
          <w:highlight w:val="white"/>
          <w:rtl w:val="0"/>
        </w:rPr>
        <w:t xml:space="preserve">34* Véase, por ejemplo, Jonathan B. Baker, The Case for Antitrust Enforcement, J. Ecoñ. Persp., otoño de 2003, pág. 27; Sam Peltzman, Concentración industrial bajo el imperio de la razón, 57 JL &amp; Ecoñ. S101 (2014); Lawrence J. White y Jasper Yang, ¿Qué ha estado pasando con la concentración agregada en la economía estadounidense en el siglo XXI?, SSRÑ (30 de marzo de 2017), https://papers.ssrn.com/sol3/papers.cfm? abstract_id=2953984 (archivado en Michigan Law Review).</w:t>
      </w:r>
    </w:p>
    <w:p w:rsidR="00000000" w:rsidDel="00000000" w:rsidP="00000000" w:rsidRDefault="00000000" w:rsidRPr="00000000" w14:paraId="000000BF">
      <w:pPr>
        <w:spacing w:line="360" w:lineRule="auto"/>
        <w:jc w:val="both"/>
        <w:rPr>
          <w:color w:val="222222"/>
          <w:highlight w:val="white"/>
        </w:rPr>
      </w:pPr>
      <w:r w:rsidDel="00000000" w:rsidR="00000000" w:rsidRPr="00000000">
        <w:rPr>
          <w:color w:val="222222"/>
          <w:highlight w:val="white"/>
          <w:rtl w:val="0"/>
        </w:rPr>
        <w:t xml:space="preserve">35* 2 Allan H. Meltzer, Una historia de la Reserva Federal, caps. 4-7 (2009).</w:t>
      </w:r>
    </w:p>
    <w:p w:rsidR="00000000" w:rsidDel="00000000" w:rsidP="00000000" w:rsidRDefault="00000000" w:rsidRPr="00000000" w14:paraId="000000C0">
      <w:pPr>
        <w:spacing w:line="360" w:lineRule="auto"/>
        <w:jc w:val="both"/>
        <w:rPr>
          <w:color w:val="222222"/>
          <w:highlight w:val="white"/>
        </w:rPr>
      </w:pPr>
      <w:r w:rsidDel="00000000" w:rsidR="00000000" w:rsidRPr="00000000">
        <w:rPr>
          <w:color w:val="222222"/>
          <w:highlight w:val="white"/>
          <w:rtl w:val="0"/>
        </w:rPr>
        <w:t xml:space="preserve">36* Sokol, supra nota 27 (manuscrito en 30-42).</w:t>
      </w:r>
    </w:p>
    <w:p w:rsidR="00000000" w:rsidDel="00000000" w:rsidP="00000000" w:rsidRDefault="00000000" w:rsidRPr="00000000" w14:paraId="000000C1">
      <w:pPr>
        <w:spacing w:line="360" w:lineRule="auto"/>
        <w:jc w:val="both"/>
        <w:rPr>
          <w:color w:val="222222"/>
          <w:highlight w:val="white"/>
        </w:rPr>
      </w:pPr>
      <w:r w:rsidDel="00000000" w:rsidR="00000000" w:rsidRPr="00000000">
        <w:rPr>
          <w:color w:val="222222"/>
          <w:highlight w:val="white"/>
          <w:rtl w:val="0"/>
        </w:rPr>
        <w:t xml:space="preserve">37* Véase el Cuadro 1.1.1 Cambio porcentual respecto del período anterior en el producto interno bruto real, Oficina Ecoñ. Análisis (26 de abril de 2019), https://apps.bea.gov/iTable/iTable.cfm?reqid =19&amp;step=3&amp;isuri= 1&amp;select_all_years=0&amp;nipa_table_list=1&amp;series=a&amp;first_year=1950&amp;scale =-99&amp;last_year=2017&amp;thetable=x [https: //perma.cc/YK2X-H6UX].</w:t>
      </w:r>
    </w:p>
    <w:p w:rsidR="00000000" w:rsidDel="00000000" w:rsidP="00000000" w:rsidRDefault="00000000" w:rsidRPr="00000000" w14:paraId="000000C2">
      <w:pPr>
        <w:spacing w:line="360" w:lineRule="auto"/>
        <w:jc w:val="both"/>
        <w:rPr>
          <w:color w:val="222222"/>
          <w:highlight w:val="white"/>
        </w:rPr>
      </w:pPr>
      <w:r w:rsidDel="00000000" w:rsidR="00000000" w:rsidRPr="00000000">
        <w:rPr>
          <w:color w:val="222222"/>
          <w:highlight w:val="white"/>
          <w:rtl w:val="0"/>
        </w:rPr>
        <w:t xml:space="preserve">38* Consulte Productividad laboral de empresas no agrícolas (producción por hora), ID de serie PRS85006092, Bureau lab. estadística. (14 de mayo de 2019), https://data.bls.gov/timeseries/PRS85006092 [https://perma.cc/5QYD-KSL6].</w:t>
      </w:r>
    </w:p>
    <w:p w:rsidR="00000000" w:rsidDel="00000000" w:rsidP="00000000" w:rsidRDefault="00000000" w:rsidRPr="00000000" w14:paraId="000000C3">
      <w:pPr>
        <w:spacing w:line="360" w:lineRule="auto"/>
        <w:jc w:val="both"/>
        <w:rPr>
          <w:color w:val="222222"/>
          <w:highlight w:val="white"/>
        </w:rPr>
      </w:pPr>
      <w:r w:rsidDel="00000000" w:rsidR="00000000" w:rsidRPr="00000000">
        <w:rPr>
          <w:color w:val="222222"/>
          <w:highlight w:val="white"/>
          <w:rtl w:val="0"/>
        </w:rPr>
        <w:t xml:space="preserve">39* Ver Índice de Precios al Consumidor para Todos los Consumidores Urbanos: Todos los Artículos, FRED Ecoñ. Datos (10 de mayo de 2019), https://fred.stlouisfed.org/graph/?g=nV5V [https://perma.cc/6LAV-PK5Y].</w:t>
      </w:r>
    </w:p>
    <w:p w:rsidR="00000000" w:rsidDel="00000000" w:rsidP="00000000" w:rsidRDefault="00000000" w:rsidRPr="00000000" w14:paraId="000000C4">
      <w:pPr>
        <w:spacing w:line="360" w:lineRule="auto"/>
        <w:jc w:val="both"/>
        <w:rPr>
          <w:color w:val="222222"/>
          <w:highlight w:val="white"/>
        </w:rPr>
      </w:pPr>
      <w:r w:rsidDel="00000000" w:rsidR="00000000" w:rsidRPr="00000000">
        <w:rPr>
          <w:color w:val="222222"/>
          <w:highlight w:val="white"/>
          <w:rtl w:val="0"/>
        </w:rPr>
        <w:t xml:space="preserve">40* Ver Tasa de Préstamos Bancarios Prime, FRED Ecoñ. Datos (13 de mayo de 2019), https://fred.stlouisfed.org/graph/?g=nV8j [https://perma.cc/72RQ-FUQ5]</w:t>
      </w:r>
    </w:p>
    <w:p w:rsidR="00000000" w:rsidDel="00000000" w:rsidP="00000000" w:rsidRDefault="00000000" w:rsidRPr="00000000" w14:paraId="000000C5">
      <w:pPr>
        <w:spacing w:line="360" w:lineRule="auto"/>
        <w:jc w:val="both"/>
        <w:rPr>
          <w:color w:val="222222"/>
          <w:highlight w:val="white"/>
        </w:rPr>
      </w:pPr>
      <w:r w:rsidDel="00000000" w:rsidR="00000000" w:rsidRPr="00000000">
        <w:rPr>
          <w:color w:val="222222"/>
          <w:highlight w:val="white"/>
          <w:rtl w:val="0"/>
        </w:rPr>
        <w:t xml:space="preserve">41* Véase Tasa de desempleo (16 años y más), ID de serie PRS85006092, Bureau Lab. Estadística. (14 de mayo de 2019), https://data.bls.gov/timeseries/LNS14000000 [https://perma.cc/X836-XV9Y].</w:t>
      </w:r>
    </w:p>
    <w:p w:rsidR="00000000" w:rsidDel="00000000" w:rsidP="00000000" w:rsidRDefault="00000000" w:rsidRPr="00000000" w14:paraId="000000C6">
      <w:pPr>
        <w:spacing w:line="360" w:lineRule="auto"/>
        <w:jc w:val="both"/>
        <w:rPr>
          <w:color w:val="222222"/>
          <w:highlight w:val="white"/>
        </w:rPr>
      </w:pPr>
      <w:r w:rsidDel="00000000" w:rsidR="00000000" w:rsidRPr="00000000">
        <w:rPr>
          <w:color w:val="222222"/>
          <w:highlight w:val="white"/>
          <w:rtl w:val="0"/>
        </w:rPr>
        <w:t xml:space="preserve">42* Véase Oficina del Censo de EE. UU., Tablas de ingresos históricos: familias tbl.F-7, https://www.census.gov/data/tables/time-series/demo/ Income-poverty/historical- Incomefamilies.html [https: //perma.cc/QU2T-6WV7].</w:t>
      </w:r>
    </w:p>
    <w:p w:rsidR="00000000" w:rsidDel="00000000" w:rsidP="00000000" w:rsidRDefault="00000000" w:rsidRPr="00000000" w14:paraId="000000C7">
      <w:pPr>
        <w:spacing w:line="360" w:lineRule="auto"/>
        <w:jc w:val="both"/>
        <w:rPr>
          <w:color w:val="222222"/>
          <w:highlight w:val="white"/>
        </w:rPr>
      </w:pPr>
      <w:r w:rsidDel="00000000" w:rsidR="00000000" w:rsidRPr="00000000">
        <w:rPr>
          <w:color w:val="222222"/>
          <w:highlight w:val="white"/>
          <w:rtl w:val="0"/>
        </w:rPr>
        <w:t xml:space="preserve">43* Dale W. Jorgenson, Productividad y crecimiento económico de los Estados Unidos de posguerra, J. Ecoñ. Persp., otoño de 1988, en 23</w:t>
      </w:r>
    </w:p>
    <w:p w:rsidR="00000000" w:rsidDel="00000000" w:rsidP="00000000" w:rsidRDefault="00000000" w:rsidRPr="00000000" w14:paraId="000000C8">
      <w:pPr>
        <w:spacing w:line="360" w:lineRule="auto"/>
        <w:jc w:val="both"/>
        <w:rPr>
          <w:color w:val="222222"/>
          <w:highlight w:val="white"/>
        </w:rPr>
      </w:pPr>
      <w:r w:rsidDel="00000000" w:rsidR="00000000" w:rsidRPr="00000000">
        <w:rPr>
          <w:color w:val="222222"/>
          <w:highlight w:val="white"/>
          <w:rtl w:val="0"/>
        </w:rPr>
        <w:t xml:space="preserve">44* Edward F. Denison, Tendencias del crecimiento económico estadounidense, 1929-1982 (1985).</w:t>
      </w:r>
    </w:p>
    <w:p w:rsidR="00000000" w:rsidDel="00000000" w:rsidP="00000000" w:rsidRDefault="00000000" w:rsidRPr="00000000" w14:paraId="000000C9">
      <w:pPr>
        <w:spacing w:line="360" w:lineRule="auto"/>
        <w:jc w:val="both"/>
        <w:rPr>
          <w:color w:val="222222"/>
          <w:highlight w:val="white"/>
        </w:rPr>
      </w:pPr>
      <w:r w:rsidDel="00000000" w:rsidR="00000000" w:rsidRPr="00000000">
        <w:rPr>
          <w:color w:val="222222"/>
          <w:highlight w:val="white"/>
          <w:rtl w:val="0"/>
        </w:rPr>
        <w:t xml:space="preserve">45* Daniel A. Crane, Chicago, Post-Chicago y Neo-Chicago, 76 U. Chi. L. Rev. 1911, 1911-13 (2009) (revisión de Robert Pitofsky, Cómo la escuela de Chicago superó la marca (2008)).</w:t>
      </w:r>
    </w:p>
    <w:p w:rsidR="00000000" w:rsidDel="00000000" w:rsidP="00000000" w:rsidRDefault="00000000" w:rsidRPr="00000000" w14:paraId="000000CA">
      <w:pPr>
        <w:spacing w:line="360" w:lineRule="auto"/>
        <w:jc w:val="both"/>
        <w:rPr>
          <w:color w:val="222222"/>
          <w:highlight w:val="white"/>
        </w:rPr>
      </w:pPr>
      <w:r w:rsidDel="00000000" w:rsidR="00000000" w:rsidRPr="00000000">
        <w:rPr>
          <w:color w:val="222222"/>
          <w:highlight w:val="white"/>
          <w:rtl w:val="0"/>
        </w:rPr>
        <w:t xml:space="preserve">46* Shantanu Dutta et al., Vertical Territorial Restrictions and Public Policy: Theories and Industry Evidence, J. Marketing, octubre de 1999, en 121; Peltzman, supra nota 34.</w:t>
      </w:r>
    </w:p>
    <w:p w:rsidR="00000000" w:rsidDel="00000000" w:rsidP="00000000" w:rsidRDefault="00000000" w:rsidRPr="00000000" w14:paraId="000000CB">
      <w:pPr>
        <w:spacing w:line="360" w:lineRule="auto"/>
        <w:jc w:val="both"/>
        <w:rPr>
          <w:color w:val="222222"/>
          <w:highlight w:val="white"/>
        </w:rPr>
      </w:pPr>
      <w:r w:rsidDel="00000000" w:rsidR="00000000" w:rsidRPr="00000000">
        <w:rPr>
          <w:color w:val="222222"/>
          <w:highlight w:val="white"/>
          <w:rtl w:val="0"/>
        </w:rPr>
        <w:t xml:space="preserve">47* Ryan D. Edwards, Costos de guerra de EE. UU.: dos partes temporales, una parte permanente, 113 J. Pub. Ecoñ. 54 (2014); John B. Taylor, El papel de la política en la gran recesión y la débil recuperación, 104 Am. Ecoñ. Rev. (Artículos y PROC.) 61 (2014).</w:t>
      </w:r>
    </w:p>
    <w:p w:rsidR="00000000" w:rsidDel="00000000" w:rsidP="00000000" w:rsidRDefault="00000000" w:rsidRPr="00000000" w14:paraId="000000CC">
      <w:pPr>
        <w:spacing w:line="360" w:lineRule="auto"/>
        <w:jc w:val="both"/>
        <w:rPr>
          <w:color w:val="222222"/>
          <w:highlight w:val="white"/>
        </w:rPr>
      </w:pPr>
      <w:r w:rsidDel="00000000" w:rsidR="00000000" w:rsidRPr="00000000">
        <w:rPr>
          <w:color w:val="222222"/>
          <w:highlight w:val="white"/>
          <w:rtl w:val="0"/>
        </w:rPr>
        <w:t xml:space="preserve">48* Por ejemplo, Alan B. Krueger y Eric a. Posner, El Proyecto Hamilton, una propuesta para proteger a los trabajadores de bajos ingresos del monopsonio y la colusión 4 (2018), http://www.hamiltonproject.org/assets/files/protecting_low_ Income_workers_from_monopsony_collusion_krueger_posner_pp.pdf [https://perma.cc/KU67 -BDBW]; UN MEJOR ACUERDO: Tomar medidas enérgicas contra los monopolios corporativos y el abuso de poder económico y político 1, http://abetterdeal.democraticleader.gov/wp-content/uploads/2017/10/ABetter-Deal-on-Competition-and-Costs .pdf [https://perma.cc/5GYY-YVLN]; Sebastian Payne, Opinión, ¿Es hora de repensar las leyes antimonopolio?, Fin. Times (25 de junio de 2018), https://www.ft.com/content/72d9a1e0-7824-11e8-bc55-50daf11b720d [https://perma.cc/QZ3L-CX2L].</w:t>
      </w:r>
    </w:p>
    <w:p w:rsidR="00000000" w:rsidDel="00000000" w:rsidP="00000000" w:rsidRDefault="00000000" w:rsidRPr="00000000" w14:paraId="000000CD">
      <w:pPr>
        <w:spacing w:line="360" w:lineRule="auto"/>
        <w:jc w:val="both"/>
        <w:rPr>
          <w:color w:val="222222"/>
          <w:highlight w:val="white"/>
        </w:rPr>
      </w:pPr>
      <w:r w:rsidDel="00000000" w:rsidR="00000000" w:rsidRPr="00000000">
        <w:rPr>
          <w:color w:val="222222"/>
          <w:highlight w:val="white"/>
          <w:rtl w:val="0"/>
        </w:rPr>
        <w:t xml:space="preserve">49* BarakOrbach, Populismo antimonopolio, 14 Ñ.YUJL &amp; Bus. 1 (2017).</w:t>
      </w:r>
    </w:p>
    <w:p w:rsidR="00000000" w:rsidDel="00000000" w:rsidP="00000000" w:rsidRDefault="00000000" w:rsidRPr="00000000" w14:paraId="000000CE">
      <w:pPr>
        <w:spacing w:line="360" w:lineRule="auto"/>
        <w:jc w:val="both"/>
        <w:rPr>
          <w:color w:val="222222"/>
          <w:highlight w:val="white"/>
        </w:rPr>
      </w:pPr>
      <w:r w:rsidDel="00000000" w:rsidR="00000000" w:rsidRPr="00000000">
        <w:rPr>
          <w:color w:val="222222"/>
          <w:highlight w:val="white"/>
          <w:rtl w:val="0"/>
        </w:rPr>
        <w:t xml:space="preserve">50* Véase Estados Unidos contra Von's Grocery Co., 384 US 270, 275, 277 (1966) (“[E]l propósito básico de la Ley Celler-Kefauver de 1950 era impedir la concentración económica en la economía estadounidense manteniendo una gran número de pequeños competidores en los negocios al detener una tendencia hacia la concentración en sus inicios antes de que esa tendencia se desarrollara hasta el punto de que un mercado quedara en manos de unas pocas grandes empresas”); Estados Unidos contra Phil. Banco Ñat'l, 374 US 321 (1963).</w:t>
      </w:r>
    </w:p>
    <w:p w:rsidR="00000000" w:rsidDel="00000000" w:rsidP="00000000" w:rsidRDefault="00000000" w:rsidRPr="00000000" w14:paraId="000000CF">
      <w:pPr>
        <w:spacing w:line="360" w:lineRule="auto"/>
        <w:jc w:val="both"/>
        <w:rPr>
          <w:color w:val="222222"/>
          <w:highlight w:val="white"/>
        </w:rPr>
      </w:pPr>
      <w:r w:rsidDel="00000000" w:rsidR="00000000" w:rsidRPr="00000000">
        <w:rPr>
          <w:color w:val="222222"/>
          <w:highlight w:val="white"/>
          <w:rtl w:val="0"/>
        </w:rPr>
        <w:t xml:space="preserve">51* Véase Brown Shoe Co. v. United States, 370 US 294, 344 (1962) (“Pero no podemos dejar de reconocer el deseo del Congreso de promover la competencia mediante la protección de pequeñas empresas viables y de propiedad local. El Congreso agradeció que ocasionalmente mayores costos y precios podrían resultar del mantenimiento de industrias y mercados fragmentados. Resolvió estas consideraciones en competencia a favor de la descentralización”).</w:t>
      </w:r>
    </w:p>
    <w:p w:rsidR="00000000" w:rsidDel="00000000" w:rsidP="00000000" w:rsidRDefault="00000000" w:rsidRPr="00000000" w14:paraId="000000D0">
      <w:pPr>
        <w:spacing w:line="360" w:lineRule="auto"/>
        <w:jc w:val="both"/>
        <w:rPr>
          <w:color w:val="222222"/>
          <w:highlight w:val="white"/>
        </w:rPr>
      </w:pPr>
      <w:r w:rsidDel="00000000" w:rsidR="00000000" w:rsidRPr="00000000">
        <w:rPr>
          <w:color w:val="222222"/>
          <w:highlight w:val="white"/>
          <w:rtl w:val="0"/>
        </w:rPr>
        <w:t xml:space="preserve">52* Véase FTC contra Procter &amp; Gamble Co., 386 US 568, 578 (1967); Estados Unidos contra El Paso Ñat. Gas Co., 376 Estados Unidos 651 (1964).</w:t>
      </w:r>
    </w:p>
    <w:p w:rsidR="00000000" w:rsidDel="00000000" w:rsidP="00000000" w:rsidRDefault="00000000" w:rsidRPr="00000000" w14:paraId="000000D1">
      <w:pPr>
        <w:spacing w:line="360" w:lineRule="auto"/>
        <w:jc w:val="both"/>
        <w:rPr>
          <w:color w:val="222222"/>
          <w:highlight w:val="white"/>
        </w:rPr>
      </w:pPr>
      <w:r w:rsidDel="00000000" w:rsidR="00000000" w:rsidRPr="00000000">
        <w:rPr>
          <w:color w:val="222222"/>
          <w:highlight w:val="white"/>
          <w:rtl w:val="0"/>
        </w:rPr>
        <w:t xml:space="preserve">53* Véase, por ejemplo, Procter &amp; Gamble, 386 US en 580.</w:t>
      </w:r>
    </w:p>
    <w:p w:rsidR="00000000" w:rsidDel="00000000" w:rsidP="00000000" w:rsidRDefault="00000000" w:rsidRPr="00000000" w14:paraId="000000D2">
      <w:pPr>
        <w:spacing w:line="360" w:lineRule="auto"/>
        <w:jc w:val="both"/>
        <w:rPr>
          <w:color w:val="222222"/>
          <w:highlight w:val="white"/>
        </w:rPr>
      </w:pPr>
      <w:r w:rsidDel="00000000" w:rsidR="00000000" w:rsidRPr="00000000">
        <w:rPr>
          <w:color w:val="222222"/>
          <w:highlight w:val="white"/>
          <w:rtl w:val="0"/>
        </w:rPr>
        <w:t xml:space="preserve">54* Véase Estados Unidos contra EI du Pont de Nemours &amp; Co., 351 US 377 (1956) (que aborda las implicaciones de las empresas dominantes y monopolizadoras, pero concluye que el dominio del mercado del celofán por parte del demandado no era una violación de la Ley Sherman). .</w:t>
      </w:r>
    </w:p>
    <w:p w:rsidR="00000000" w:rsidDel="00000000" w:rsidP="00000000" w:rsidRDefault="00000000" w:rsidRPr="00000000" w14:paraId="000000D3">
      <w:pPr>
        <w:spacing w:line="360" w:lineRule="auto"/>
        <w:jc w:val="both"/>
        <w:rPr>
          <w:color w:val="222222"/>
          <w:highlight w:val="white"/>
        </w:rPr>
      </w:pPr>
      <w:r w:rsidDel="00000000" w:rsidR="00000000" w:rsidRPr="00000000">
        <w:rPr>
          <w:color w:val="222222"/>
          <w:highlight w:val="white"/>
          <w:rtl w:val="0"/>
        </w:rPr>
        <w:t xml:space="preserve">55* Véase Albrecht v. Herald Co., 390 US 145, 151-54 (1968); Estados Unidos contra Arnold, Schwinn &amp; Co., 388 US 365, 377-78 (1967); NORTE. Pac. Ry. Co. contra Estados Unidos, 356 US 1, 7-8 (1958).</w:t>
      </w:r>
    </w:p>
    <w:p w:rsidR="00000000" w:rsidDel="00000000" w:rsidP="00000000" w:rsidRDefault="00000000" w:rsidRPr="00000000" w14:paraId="000000D4">
      <w:pPr>
        <w:spacing w:line="360" w:lineRule="auto"/>
        <w:jc w:val="both"/>
        <w:rPr>
          <w:color w:val="222222"/>
          <w:highlight w:val="white"/>
        </w:rPr>
      </w:pPr>
      <w:r w:rsidDel="00000000" w:rsidR="00000000" w:rsidRPr="00000000">
        <w:rPr>
          <w:color w:val="222222"/>
          <w:highlight w:val="white"/>
          <w:rtl w:val="0"/>
        </w:rPr>
        <w:t xml:space="preserve">56* Véase Estados Unidos contra Topco Assocs., Inc., 405 US 596, 606-12 (1972); Estados Unidos contra Sealy, Inc., 388 US 350, 352-58 (1967).</w:t>
      </w:r>
    </w:p>
    <w:p w:rsidR="00000000" w:rsidDel="00000000" w:rsidP="00000000" w:rsidRDefault="00000000" w:rsidRPr="00000000" w14:paraId="000000D5">
      <w:pPr>
        <w:spacing w:line="360" w:lineRule="auto"/>
        <w:jc w:val="both"/>
        <w:rPr>
          <w:color w:val="222222"/>
          <w:highlight w:val="white"/>
        </w:rPr>
      </w:pPr>
      <w:r w:rsidDel="00000000" w:rsidR="00000000" w:rsidRPr="00000000">
        <w:rPr>
          <w:color w:val="222222"/>
          <w:highlight w:val="white"/>
          <w:rtl w:val="0"/>
        </w:rPr>
        <w:t xml:space="preserve">57* Véase Utah Pie Co. contra Cont'l Baking Co., 386 US 685, 703 (1967); Estados Unidos contra EI du Pont de Nemours &amp; Co., 353 US 586, 590 (1957); FTC contra Morton Salt Co., 334 US 37, 50 (1948).</w:t>
      </w:r>
    </w:p>
    <w:p w:rsidR="00000000" w:rsidDel="00000000" w:rsidP="00000000" w:rsidRDefault="00000000" w:rsidRPr="00000000" w14:paraId="000000D6">
      <w:pPr>
        <w:spacing w:line="360" w:lineRule="auto"/>
        <w:jc w:val="both"/>
        <w:rPr>
          <w:color w:val="222222"/>
          <w:highlight w:val="white"/>
        </w:rPr>
      </w:pPr>
      <w:r w:rsidDel="00000000" w:rsidR="00000000" w:rsidRPr="00000000">
        <w:rPr>
          <w:color w:val="222222"/>
          <w:highlight w:val="white"/>
          <w:rtl w:val="0"/>
        </w:rPr>
        <w:t xml:space="preserve">58* Estados Unidos contra Aluminium Co. of Am., 148 F.2d416, 428 (2dCir. 1945).</w:t>
      </w:r>
    </w:p>
    <w:p w:rsidR="00000000" w:rsidDel="00000000" w:rsidP="00000000" w:rsidRDefault="00000000" w:rsidRPr="00000000" w14:paraId="000000D7">
      <w:pPr>
        <w:spacing w:line="360" w:lineRule="auto"/>
        <w:jc w:val="both"/>
        <w:rPr>
          <w:color w:val="222222"/>
          <w:highlight w:val="white"/>
        </w:rPr>
      </w:pPr>
      <w:r w:rsidDel="00000000" w:rsidR="00000000" w:rsidRPr="00000000">
        <w:rPr>
          <w:color w:val="222222"/>
          <w:highlight w:val="white"/>
          <w:rtl w:val="0"/>
        </w:rPr>
        <w:t xml:space="preserve">59* FTC contra Procter &amp; Gamble Co., 386 US 568, 580 (1967).</w:t>
      </w:r>
    </w:p>
    <w:p w:rsidR="00000000" w:rsidDel="00000000" w:rsidP="00000000" w:rsidRDefault="00000000" w:rsidRPr="00000000" w14:paraId="000000D8">
      <w:pPr>
        <w:spacing w:line="360" w:lineRule="auto"/>
        <w:jc w:val="both"/>
        <w:rPr>
          <w:color w:val="222222"/>
          <w:highlight w:val="white"/>
        </w:rPr>
      </w:pPr>
      <w:r w:rsidDel="00000000" w:rsidR="00000000" w:rsidRPr="00000000">
        <w:rPr>
          <w:color w:val="222222"/>
          <w:highlight w:val="white"/>
          <w:rtl w:val="0"/>
        </w:rPr>
        <w:t xml:space="preserve">60* Estados Unidos contra Von's Grocery Co., 384 US 270, 278 (1966).</w:t>
      </w:r>
    </w:p>
    <w:p w:rsidR="00000000" w:rsidDel="00000000" w:rsidP="00000000" w:rsidRDefault="00000000" w:rsidRPr="00000000" w14:paraId="000000D9">
      <w:pPr>
        <w:spacing w:line="360" w:lineRule="auto"/>
        <w:jc w:val="both"/>
        <w:rPr>
          <w:color w:val="222222"/>
          <w:highlight w:val="white"/>
        </w:rPr>
      </w:pPr>
      <w:r w:rsidDel="00000000" w:rsidR="00000000" w:rsidRPr="00000000">
        <w:rPr>
          <w:color w:val="222222"/>
          <w:highlight w:val="white"/>
          <w:rtl w:val="0"/>
        </w:rPr>
        <w:t xml:space="preserve">61* Véase Richard R. Ñelson y Gavin Wright, El ascenso y la caída del liderazgo tecnológico estadounidense: la era de posguerra en perspectiva histórica, 30 J. Ecoñ. LITERATURA 1931, 1955-60 (1992).</w:t>
      </w:r>
    </w:p>
    <w:p w:rsidR="00000000" w:rsidDel="00000000" w:rsidP="00000000" w:rsidRDefault="00000000" w:rsidRPr="00000000" w14:paraId="000000DA">
      <w:pPr>
        <w:spacing w:line="360" w:lineRule="auto"/>
        <w:jc w:val="both"/>
        <w:rPr>
          <w:color w:val="222222"/>
          <w:highlight w:val="white"/>
        </w:rPr>
      </w:pPr>
      <w:r w:rsidDel="00000000" w:rsidR="00000000" w:rsidRPr="00000000">
        <w:rPr>
          <w:color w:val="222222"/>
          <w:highlight w:val="white"/>
          <w:rtl w:val="0"/>
        </w:rPr>
        <w:t xml:space="preserve">62* Véase Estados Unidos contra Gen. Dynamics Corp., 415 US 486, 494-504 (1974).</w:t>
      </w:r>
    </w:p>
    <w:p w:rsidR="00000000" w:rsidDel="00000000" w:rsidP="00000000" w:rsidRDefault="00000000" w:rsidRPr="00000000" w14:paraId="000000DB">
      <w:pPr>
        <w:spacing w:line="360" w:lineRule="auto"/>
        <w:jc w:val="both"/>
        <w:rPr>
          <w:color w:val="222222"/>
          <w:highlight w:val="white"/>
        </w:rPr>
      </w:pPr>
      <w:r w:rsidDel="00000000" w:rsidR="00000000" w:rsidRPr="00000000">
        <w:rPr>
          <w:color w:val="222222"/>
          <w:highlight w:val="white"/>
          <w:rtl w:val="0"/>
        </w:rPr>
        <w:t xml:space="preserve">63* Ver amplio. Music, Inc. contra Columbia Broad. Sys., Inc., 441 US 1, 16-24 (1979); Cont'l TV, Inc. contra GTE Sylvania Inc., 433 US 36, 42-47 (1977).</w:t>
      </w:r>
    </w:p>
    <w:p w:rsidR="00000000" w:rsidDel="00000000" w:rsidP="00000000" w:rsidRDefault="00000000" w:rsidRPr="00000000" w14:paraId="000000DC">
      <w:pPr>
        <w:spacing w:line="360" w:lineRule="auto"/>
        <w:jc w:val="both"/>
        <w:rPr>
          <w:color w:val="222222"/>
          <w:highlight w:val="white"/>
        </w:rPr>
      </w:pPr>
      <w:r w:rsidDel="00000000" w:rsidR="00000000" w:rsidRPr="00000000">
        <w:rPr>
          <w:color w:val="222222"/>
          <w:highlight w:val="white"/>
          <w:rtl w:val="0"/>
        </w:rPr>
        <w:t xml:space="preserve">64* Véase Brunswick Corp. contra Pueblo Bowl-O-Mat, Inc., 429 US 447, 484-89 (1977).</w:t>
      </w:r>
    </w:p>
    <w:p w:rsidR="00000000" w:rsidDel="00000000" w:rsidP="00000000" w:rsidRDefault="00000000" w:rsidRPr="00000000" w14:paraId="000000DD">
      <w:pPr>
        <w:spacing w:line="360" w:lineRule="auto"/>
        <w:jc w:val="both"/>
        <w:rPr>
          <w:color w:val="222222"/>
          <w:highlight w:val="white"/>
        </w:rPr>
      </w:pPr>
      <w:r w:rsidDel="00000000" w:rsidR="00000000" w:rsidRPr="00000000">
        <w:rPr>
          <w:color w:val="222222"/>
          <w:highlight w:val="white"/>
          <w:rtl w:val="0"/>
        </w:rPr>
        <w:t xml:space="preserve">65* Estados Unidos contra US Gypsum Co., 438 US 422, 436-443 (1978).</w:t>
      </w:r>
    </w:p>
    <w:p w:rsidR="00000000" w:rsidDel="00000000" w:rsidP="00000000" w:rsidRDefault="00000000" w:rsidRPr="00000000" w14:paraId="000000DE">
      <w:pPr>
        <w:spacing w:line="360" w:lineRule="auto"/>
        <w:jc w:val="both"/>
        <w:rPr>
          <w:color w:val="222222"/>
          <w:highlight w:val="white"/>
        </w:rPr>
      </w:pPr>
      <w:r w:rsidDel="00000000" w:rsidR="00000000" w:rsidRPr="00000000">
        <w:rPr>
          <w:color w:val="222222"/>
          <w:highlight w:val="white"/>
          <w:rtl w:val="0"/>
        </w:rPr>
        <w:t xml:space="preserve">66* William E. Kovacic, Expectativas fallidas: el pasado turbulento y el futuro incierto de la Ley Sherman como herramienta para la desconcentración, 7 4 IOWAL.REV. 1105, 1136-41 (1989).</w:t>
      </w:r>
    </w:p>
    <w:p w:rsidR="00000000" w:rsidDel="00000000" w:rsidP="00000000" w:rsidRDefault="00000000" w:rsidRPr="00000000" w14:paraId="000000DF">
      <w:pPr>
        <w:spacing w:line="360" w:lineRule="auto"/>
        <w:jc w:val="both"/>
        <w:rPr>
          <w:color w:val="222222"/>
          <w:highlight w:val="white"/>
        </w:rPr>
      </w:pPr>
      <w:r w:rsidDel="00000000" w:rsidR="00000000" w:rsidRPr="00000000">
        <w:rPr>
          <w:color w:val="222222"/>
          <w:highlight w:val="white"/>
          <w:rtl w:val="0"/>
        </w:rPr>
        <w:t xml:space="preserve">67* William E. Kovacic y Carl Shapiro, Política antimonopolio: un siglo de pensamiento económico y jurídico, J. Ecoñ. Persp., invierno de 2000, en 43, 43-60.</w:t>
      </w:r>
    </w:p>
    <w:p w:rsidR="00000000" w:rsidDel="00000000" w:rsidP="00000000" w:rsidRDefault="00000000" w:rsidRPr="00000000" w14:paraId="000000E0">
      <w:pPr>
        <w:spacing w:line="360" w:lineRule="auto"/>
        <w:jc w:val="both"/>
        <w:rPr>
          <w:color w:val="222222"/>
          <w:highlight w:val="white"/>
        </w:rPr>
      </w:pPr>
      <w:r w:rsidDel="00000000" w:rsidR="00000000" w:rsidRPr="00000000">
        <w:rPr>
          <w:color w:val="222222"/>
          <w:highlight w:val="white"/>
          <w:rtl w:val="0"/>
        </w:rPr>
        <w:t xml:space="preserve">68* Dale W. Jorgenson et al., Una mirada retrospectiva al resurgimiento del crecimiento de la productividad en Estados Unidos, J. Ecoñ. Persp., invierno de 2008, en 3, 3.</w:t>
      </w:r>
    </w:p>
    <w:p w:rsidR="00000000" w:rsidDel="00000000" w:rsidP="00000000" w:rsidRDefault="00000000" w:rsidRPr="00000000" w14:paraId="000000E1">
      <w:pPr>
        <w:spacing w:line="360" w:lineRule="auto"/>
        <w:jc w:val="both"/>
        <w:rPr>
          <w:color w:val="222222"/>
          <w:highlight w:val="white"/>
        </w:rPr>
      </w:pPr>
      <w:r w:rsidDel="00000000" w:rsidR="00000000" w:rsidRPr="00000000">
        <w:rPr>
          <w:color w:val="222222"/>
          <w:highlight w:val="white"/>
          <w:rtl w:val="0"/>
        </w:rPr>
        <w:t xml:space="preserve">69* Véase enm. Ñeedle, Inc. contra Ñat'l Football League, 560 US 183, 195-96 (2010); Autobús. Elec. Corp. contra Sharp Elecs. Corp., 485 US 717, 723-31 (1988); Matsushita eléctrica. Indo. Co. contra Zenith Radio Corp., 475 US 574, 588-93 (1986); Copperweld Corp. contra Independence Tube Corp., 467 US 752, 771-74 (1984).</w:t>
      </w:r>
    </w:p>
    <w:p w:rsidR="00000000" w:rsidDel="00000000" w:rsidP="00000000" w:rsidRDefault="00000000" w:rsidRPr="00000000" w14:paraId="000000E2">
      <w:pPr>
        <w:spacing w:line="360" w:lineRule="auto"/>
        <w:jc w:val="both"/>
        <w:rPr>
          <w:color w:val="222222"/>
          <w:highlight w:val="white"/>
        </w:rPr>
      </w:pPr>
      <w:r w:rsidDel="00000000" w:rsidR="00000000" w:rsidRPr="00000000">
        <w:rPr>
          <w:color w:val="222222"/>
          <w:highlight w:val="white"/>
          <w:rtl w:val="0"/>
        </w:rPr>
        <w:t xml:space="preserve">70* Ver Bell Atl. Corp. contra Twombly, 550 US 544, 554-63 (2007); Matsushita, 475 EE. UU. en 585-88.</w:t>
      </w:r>
    </w:p>
    <w:p w:rsidR="00000000" w:rsidDel="00000000" w:rsidP="00000000" w:rsidRDefault="00000000" w:rsidRPr="00000000" w14:paraId="000000E3">
      <w:pPr>
        <w:spacing w:line="360" w:lineRule="auto"/>
        <w:jc w:val="both"/>
        <w:rPr>
          <w:color w:val="222222"/>
          <w:highlight w:val="white"/>
        </w:rPr>
      </w:pPr>
      <w:r w:rsidDel="00000000" w:rsidR="00000000" w:rsidRPr="00000000">
        <w:rPr>
          <w:color w:val="222222"/>
          <w:highlight w:val="white"/>
          <w:rtl w:val="0"/>
        </w:rPr>
        <w:t xml:space="preserve">71* Estados Unidos contra Baker Hughes Inc., 908 F.2d981, 982 (DC Cir. 1990).</w:t>
      </w:r>
    </w:p>
    <w:p w:rsidR="00000000" w:rsidDel="00000000" w:rsidP="00000000" w:rsidRDefault="00000000" w:rsidRPr="00000000" w14:paraId="000000E4">
      <w:pPr>
        <w:spacing w:line="360" w:lineRule="auto"/>
        <w:jc w:val="both"/>
        <w:rPr>
          <w:color w:val="222222"/>
          <w:highlight w:val="white"/>
        </w:rPr>
      </w:pPr>
      <w:r w:rsidDel="00000000" w:rsidR="00000000" w:rsidRPr="00000000">
        <w:rPr>
          <w:color w:val="222222"/>
          <w:highlight w:val="white"/>
          <w:rtl w:val="0"/>
        </w:rPr>
        <w:t xml:space="preserve">72* Véase FTC contra HJ Heinz Co., 246 F.3d 708, 720-21 (DC Cir. 2001); FTC contra Univ. Health, Inc., 938 F.2d 1206, 1222 (11.º Cir. 1991).</w:t>
      </w:r>
    </w:p>
    <w:p w:rsidR="00000000" w:rsidDel="00000000" w:rsidP="00000000" w:rsidRDefault="00000000" w:rsidRPr="00000000" w14:paraId="000000E5">
      <w:pPr>
        <w:spacing w:line="360" w:lineRule="auto"/>
        <w:jc w:val="both"/>
        <w:rPr>
          <w:color w:val="222222"/>
          <w:highlight w:val="white"/>
        </w:rPr>
      </w:pPr>
      <w:r w:rsidDel="00000000" w:rsidR="00000000" w:rsidRPr="00000000">
        <w:rPr>
          <w:color w:val="222222"/>
          <w:highlight w:val="white"/>
          <w:rtl w:val="0"/>
        </w:rPr>
        <w:t xml:space="preserve">73* Ver Pac. Timbre Tel. Co. contra Linkline Commc'ns, Inc., 555 US 438, 446-47 (2009); Verizon Commc'ns Inc. contra las Oficinas Legales de Curtis V. Trinko, LLP, 540 US 398, 407-11 (2004); Grupo Brooke. Ltd. contra Brown &amp; Williamson Tobacco Corp., 509 US 209, 222-24 (1993); Spectrum Sports, Inc. contra McQuillan, 506 US 447, 456, 458 (1993); Aspen Skiing Co. contra Aspen Highlands Skiing Corp., 472 US 585, 600-05 (1985).</w:t>
      </w:r>
    </w:p>
    <w:p w:rsidR="00000000" w:rsidDel="00000000" w:rsidP="00000000" w:rsidRDefault="00000000" w:rsidRPr="00000000" w14:paraId="000000E6">
      <w:pPr>
        <w:spacing w:line="360" w:lineRule="auto"/>
        <w:jc w:val="both"/>
        <w:rPr>
          <w:color w:val="222222"/>
          <w:highlight w:val="white"/>
        </w:rPr>
      </w:pPr>
      <w:r w:rsidDel="00000000" w:rsidR="00000000" w:rsidRPr="00000000">
        <w:rPr>
          <w:color w:val="222222"/>
          <w:highlight w:val="white"/>
          <w:rtl w:val="0"/>
        </w:rPr>
        <w:t xml:space="preserve">74* Véase Leegin Creative Leather Prods., Inc. contra PSKS, Inc., 551 US 877, 897-99 (2007); Camiones Volvo Ñ. Am., Inc. contra Reeder-Simco GMC, Inc., 546 US 164, 175-82 (2006); Brooke Grp., 509 EE. UU. en 222-24; Jefferson Par. Hosp. Dist. No. 2 contra Hyde, 466 US 2, 12 (1984); Monsanto Co. contra Spray-Rite Serv. Corp., 465 US 752, 760-64 (1984).</w:t>
      </w:r>
    </w:p>
    <w:p w:rsidR="00000000" w:rsidDel="00000000" w:rsidP="00000000" w:rsidRDefault="00000000" w:rsidRPr="00000000" w14:paraId="000000E7">
      <w:pPr>
        <w:spacing w:line="360" w:lineRule="auto"/>
        <w:jc w:val="both"/>
        <w:rPr>
          <w:color w:val="222222"/>
          <w:highlight w:val="white"/>
        </w:rPr>
      </w:pPr>
      <w:r w:rsidDel="00000000" w:rsidR="00000000" w:rsidRPr="00000000">
        <w:rPr>
          <w:color w:val="222222"/>
          <w:highlight w:val="white"/>
          <w:rtl w:val="0"/>
        </w:rPr>
        <w:t xml:space="preserve">75* Ill. Tool Works Inc. contra Indep. Ink, Inc., 547 Estados Unidos 28, 44-46 (2006).</w:t>
      </w:r>
    </w:p>
    <w:p w:rsidR="00000000" w:rsidDel="00000000" w:rsidP="00000000" w:rsidRDefault="00000000" w:rsidRPr="00000000" w14:paraId="000000E8">
      <w:pPr>
        <w:spacing w:line="360" w:lineRule="auto"/>
        <w:jc w:val="both"/>
        <w:rPr>
          <w:color w:val="222222"/>
          <w:highlight w:val="white"/>
        </w:rPr>
      </w:pPr>
      <w:r w:rsidDel="00000000" w:rsidR="00000000" w:rsidRPr="00000000">
        <w:rPr>
          <w:color w:val="222222"/>
          <w:highlight w:val="white"/>
          <w:rtl w:val="0"/>
        </w:rPr>
        <w:t xml:space="preserve">76* Véase Wal-Mart Stores, Inc. contra Dukes, 564 US 338, 349-50 (2011); véase también Am. Express Co. contra Italian Colors Rest., 570 US 228, 231-39 (2013).</w:t>
      </w:r>
    </w:p>
    <w:p w:rsidR="00000000" w:rsidDel="00000000" w:rsidP="00000000" w:rsidRDefault="00000000" w:rsidRPr="00000000" w14:paraId="000000E9">
      <w:pPr>
        <w:spacing w:line="360" w:lineRule="auto"/>
        <w:jc w:val="both"/>
        <w:rPr>
          <w:color w:val="222222"/>
          <w:highlight w:val="white"/>
        </w:rPr>
      </w:pPr>
      <w:r w:rsidDel="00000000" w:rsidR="00000000" w:rsidRPr="00000000">
        <w:rPr>
          <w:color w:val="222222"/>
          <w:highlight w:val="white"/>
          <w:rtl w:val="0"/>
        </w:rPr>
        <w:t xml:space="preserve">77* Véase Ohio v. Am. Express Co., 138 S. Ct. 2274, 2284, 2288 (2018).</w:t>
      </w:r>
    </w:p>
    <w:p w:rsidR="00000000" w:rsidDel="00000000" w:rsidP="00000000" w:rsidRDefault="00000000" w:rsidRPr="00000000" w14:paraId="000000EA">
      <w:pPr>
        <w:spacing w:line="360" w:lineRule="auto"/>
        <w:jc w:val="both"/>
        <w:rPr>
          <w:color w:val="222222"/>
          <w:highlight w:val="white"/>
        </w:rPr>
      </w:pPr>
      <w:r w:rsidDel="00000000" w:rsidR="00000000" w:rsidRPr="00000000">
        <w:rPr>
          <w:color w:val="222222"/>
          <w:highlight w:val="white"/>
          <w:rtl w:val="0"/>
        </w:rPr>
        <w:t xml:space="preserve">78* Véase FTC contra Phoebe Putney Health Sys., Inc., 568 US 216, 230-32 (2013).</w:t>
      </w:r>
    </w:p>
    <w:p w:rsidR="00000000" w:rsidDel="00000000" w:rsidP="00000000" w:rsidRDefault="00000000" w:rsidRPr="00000000" w14:paraId="000000EB">
      <w:pPr>
        <w:spacing w:line="360" w:lineRule="auto"/>
        <w:jc w:val="both"/>
        <w:rPr>
          <w:color w:val="222222"/>
          <w:highlight w:val="white"/>
        </w:rPr>
      </w:pPr>
      <w:r w:rsidDel="00000000" w:rsidR="00000000" w:rsidRPr="00000000">
        <w:rPr>
          <w:color w:val="222222"/>
          <w:highlight w:val="white"/>
          <w:rtl w:val="0"/>
        </w:rPr>
        <w:t xml:space="preserve">79* Véase Apple Inc. contra Pepper, 139 S. Ct. 1514 (2019).</w:t>
      </w:r>
    </w:p>
    <w:p w:rsidR="00000000" w:rsidDel="00000000" w:rsidP="00000000" w:rsidRDefault="00000000" w:rsidRPr="00000000" w14:paraId="000000EC">
      <w:pPr>
        <w:spacing w:line="360" w:lineRule="auto"/>
        <w:jc w:val="both"/>
        <w:rPr>
          <w:color w:val="222222"/>
          <w:highlight w:val="white"/>
        </w:rPr>
      </w:pPr>
      <w:r w:rsidDel="00000000" w:rsidR="00000000" w:rsidRPr="00000000">
        <w:rPr>
          <w:color w:val="222222"/>
          <w:highlight w:val="white"/>
          <w:rtl w:val="0"/>
        </w:rPr>
        <w:t xml:space="preserve">80* Véase FTC contra Actavis, Inc., 570 US 136, 141 (2013).</w:t>
      </w:r>
    </w:p>
    <w:p w:rsidR="00000000" w:rsidDel="00000000" w:rsidP="00000000" w:rsidRDefault="00000000" w:rsidRPr="00000000" w14:paraId="000000ED">
      <w:pPr>
        <w:spacing w:line="360" w:lineRule="auto"/>
        <w:jc w:val="both"/>
        <w:rPr>
          <w:color w:val="222222"/>
          <w:highlight w:val="white"/>
        </w:rPr>
      </w:pPr>
      <w:r w:rsidDel="00000000" w:rsidR="00000000" w:rsidRPr="00000000">
        <w:rPr>
          <w:color w:val="222222"/>
          <w:highlight w:val="white"/>
          <w:rtl w:val="0"/>
        </w:rPr>
        <w:t xml:space="preserve">81* Véase Estados Unidos contra Apple, Inc., 791 F.3d 290, 324-25 (2d Cir. 2015).</w:t>
      </w:r>
    </w:p>
    <w:p w:rsidR="00000000" w:rsidDel="00000000" w:rsidP="00000000" w:rsidRDefault="00000000" w:rsidRPr="00000000" w14:paraId="000000EE">
      <w:pPr>
        <w:spacing w:line="360" w:lineRule="auto"/>
        <w:jc w:val="both"/>
        <w:rPr>
          <w:color w:val="222222"/>
          <w:highlight w:val="white"/>
        </w:rPr>
      </w:pPr>
      <w:r w:rsidDel="00000000" w:rsidR="00000000" w:rsidRPr="00000000">
        <w:rPr>
          <w:color w:val="222222"/>
          <w:highlight w:val="white"/>
          <w:rtl w:val="0"/>
        </w:rPr>
        <w:t xml:space="preserve">82* Véase Estados Unidos contra Anthem, Inc., 855 F.3d 345, 349 (DC Cir. 2017); FTC contra Penn State Hershey Med. Ctr., 838 F.3d 327, 347-51 (3d Cir.2016); San Alfonso Med. Ctr.- Ñampa Inc. v. St. Luke's Health Sys., Ltd., 778 F.3d 775, 791 (9th Cir. 2015); Sistema de salud ProMedica. contra FTC, 749 F.3d 559, 571-72 (6th Cir. 2014).</w:t>
      </w:r>
    </w:p>
    <w:p w:rsidR="00000000" w:rsidDel="00000000" w:rsidP="00000000" w:rsidRDefault="00000000" w:rsidRPr="00000000" w14:paraId="000000EF">
      <w:pPr>
        <w:spacing w:line="360" w:lineRule="auto"/>
        <w:jc w:val="both"/>
        <w:rPr>
          <w:color w:val="222222"/>
          <w:highlight w:val="white"/>
        </w:rPr>
      </w:pPr>
      <w:r w:rsidDel="00000000" w:rsidR="00000000" w:rsidRPr="00000000">
        <w:rPr>
          <w:color w:val="222222"/>
          <w:highlight w:val="white"/>
          <w:rtl w:val="0"/>
        </w:rPr>
        <w:t xml:space="preserve">83* Véase Roger D. Blair y D. Daniel Sokol, The Rule of R eason and the Goals of Antitrust: An Economic Approach, 78 Antitrust LJ 471, 473 (2012) (donde se afirma que Bork “[usó] el término 'bienestar del consumidor' cuando se refería al bienestar total”). Algunos comentaristas encuentran una visión más siniestra de la confusión deliberada de Bork. Véase John B. Kirkwood y Robert H. Lande, El objetivo fundamental del antimonopolio: proteger a los consumidores, no aumentar la eficiencia, 84 NoTRE Dame L. Rev. 191, 199-200 (2008). De hecho, el bienestar total tuvo sus orígenes en la Escuela de Harvard una década antes que Bork. Véase Alan J. Meese, Desmentir la cuenta de bienestar del comprador de la sección 2 de la Ley Sherman: cómo Harvard nos trajo un estándar de bienestar total y por qué deberíamos conservarlo, 85 Ñ.YUL Rev. 659, 692-93 (2010).</w:t>
      </w:r>
    </w:p>
    <w:p w:rsidR="00000000" w:rsidDel="00000000" w:rsidP="00000000" w:rsidRDefault="00000000" w:rsidRPr="00000000" w14:paraId="000000F0">
      <w:pPr>
        <w:spacing w:line="360" w:lineRule="auto"/>
        <w:jc w:val="both"/>
        <w:rPr>
          <w:color w:val="222222"/>
          <w:highlight w:val="white"/>
        </w:rPr>
      </w:pPr>
      <w:r w:rsidDel="00000000" w:rsidR="00000000" w:rsidRPr="00000000">
        <w:rPr>
          <w:color w:val="222222"/>
          <w:highlight w:val="white"/>
          <w:rtl w:val="0"/>
        </w:rPr>
        <w:t xml:space="preserve">84* Blair &amp; Sokol, supra nota 83, en 473.</w:t>
      </w:r>
    </w:p>
    <w:p w:rsidR="00000000" w:rsidDel="00000000" w:rsidP="00000000" w:rsidRDefault="00000000" w:rsidRPr="00000000" w14:paraId="000000F1">
      <w:pPr>
        <w:spacing w:line="360" w:lineRule="auto"/>
        <w:jc w:val="both"/>
        <w:rPr>
          <w:color w:val="222222"/>
          <w:highlight w:val="white"/>
        </w:rPr>
      </w:pPr>
      <w:r w:rsidDel="00000000" w:rsidR="00000000" w:rsidRPr="00000000">
        <w:rPr>
          <w:color w:val="222222"/>
          <w:highlight w:val="white"/>
          <w:rtl w:val="0"/>
        </w:rPr>
        <w:t xml:space="preserve">85* Véase, por ejemplo, FTC v. Ind. Fed'n of Dentists, 476 US 447, 459 (1986).</w:t>
      </w:r>
    </w:p>
    <w:p w:rsidR="00000000" w:rsidDel="00000000" w:rsidP="00000000" w:rsidRDefault="00000000" w:rsidRPr="00000000" w14:paraId="000000F2">
      <w:pPr>
        <w:spacing w:line="360" w:lineRule="auto"/>
        <w:jc w:val="both"/>
        <w:rPr>
          <w:color w:val="222222"/>
          <w:highlight w:val="white"/>
        </w:rPr>
      </w:pPr>
      <w:r w:rsidDel="00000000" w:rsidR="00000000" w:rsidRPr="00000000">
        <w:rPr>
          <w:color w:val="222222"/>
          <w:highlight w:val="white"/>
          <w:rtl w:val="0"/>
        </w:rPr>
        <w:t xml:space="preserve">86* Véase, por ejemplo, Leegin Creative Leather Prods., Inc. contra PSKS, Inc., 551 US 877, 902 (2007).</w:t>
      </w:r>
    </w:p>
    <w:p w:rsidR="00000000" w:rsidDel="00000000" w:rsidP="00000000" w:rsidRDefault="00000000" w:rsidRPr="00000000" w14:paraId="000000F3">
      <w:pPr>
        <w:spacing w:line="360" w:lineRule="auto"/>
        <w:jc w:val="both"/>
        <w:rPr>
          <w:color w:val="222222"/>
          <w:highlight w:val="white"/>
        </w:rPr>
      </w:pPr>
      <w:r w:rsidDel="00000000" w:rsidR="00000000" w:rsidRPr="00000000">
        <w:rPr>
          <w:color w:val="222222"/>
          <w:highlight w:val="white"/>
          <w:rtl w:val="0"/>
        </w:rPr>
        <w:t xml:space="preserve">87* Verizon Commc'ns Inc. contra Law Offices of Curtis V. Trinko, LLP, 540 US 398, 408 (2004).</w:t>
      </w:r>
    </w:p>
    <w:p w:rsidR="00000000" w:rsidDel="00000000" w:rsidP="00000000" w:rsidRDefault="00000000" w:rsidRPr="00000000" w14:paraId="000000F4">
      <w:pPr>
        <w:spacing w:line="360" w:lineRule="auto"/>
        <w:jc w:val="both"/>
        <w:rPr>
          <w:color w:val="222222"/>
          <w:highlight w:val="white"/>
        </w:rPr>
      </w:pPr>
      <w:r w:rsidDel="00000000" w:rsidR="00000000" w:rsidRPr="00000000">
        <w:rPr>
          <w:color w:val="222222"/>
          <w:highlight w:val="white"/>
          <w:rtl w:val="0"/>
        </w:rPr>
        <w:t xml:space="preserve">88* 1 Phillip E. Areeda y Herbert Hovenkamp, Ley Antimonopolio 109-10 (4ª ed. 2013).</w:t>
      </w:r>
    </w:p>
    <w:p w:rsidR="00000000" w:rsidDel="00000000" w:rsidP="00000000" w:rsidRDefault="00000000" w:rsidRPr="00000000" w14:paraId="000000F5">
      <w:pPr>
        <w:spacing w:line="360" w:lineRule="auto"/>
        <w:jc w:val="both"/>
        <w:rPr>
          <w:color w:val="222222"/>
          <w:highlight w:val="white"/>
        </w:rPr>
      </w:pPr>
      <w:r w:rsidDel="00000000" w:rsidR="00000000" w:rsidRPr="00000000">
        <w:rPr>
          <w:color w:val="222222"/>
          <w:highlight w:val="white"/>
          <w:rtl w:val="0"/>
        </w:rPr>
        <w:t xml:space="preserve">89* Donald F. Turner, La durabilidad, relevancia y futuro de la política antimonopolio estadounidense, 75 California L. Rev. 797, 798 (1987).</w:t>
      </w:r>
    </w:p>
    <w:p w:rsidR="00000000" w:rsidDel="00000000" w:rsidP="00000000" w:rsidRDefault="00000000" w:rsidRPr="00000000" w14:paraId="000000F6">
      <w:pPr>
        <w:spacing w:line="360" w:lineRule="auto"/>
        <w:jc w:val="both"/>
        <w:rPr>
          <w:color w:val="222222"/>
          <w:highlight w:val="white"/>
        </w:rPr>
      </w:pPr>
      <w:r w:rsidDel="00000000" w:rsidR="00000000" w:rsidRPr="00000000">
        <w:rPr>
          <w:color w:val="222222"/>
          <w:highlight w:val="white"/>
          <w:rtl w:val="0"/>
        </w:rPr>
        <w:t xml:space="preserve">90* Véase Timothy J. Muris, Presidente de la Reserva Federal. Trade Comm'n, Todo lo viejo es nuevo otra vez: atención médica y competencia en el siglo XXI, discurso en el 7º Foro Anual de Competencia en Atención Médica (Ñov. 7, 2002), https://www.ftc.gov/sites/ default/files/documents /public_statements/everything-old-new-again-health-care-and-competition-21st-century/mu rishealthcarespeech0211.pdf [https://perma.cc/A98W-4BEF].</w:t>
      </w:r>
    </w:p>
    <w:p w:rsidR="00000000" w:rsidDel="00000000" w:rsidP="00000000" w:rsidRDefault="00000000" w:rsidRPr="00000000" w14:paraId="000000F7">
      <w:pPr>
        <w:spacing w:line="360" w:lineRule="auto"/>
        <w:jc w:val="both"/>
        <w:rPr>
          <w:color w:val="222222"/>
          <w:highlight w:val="white"/>
        </w:rPr>
      </w:pPr>
      <w:r w:rsidDel="00000000" w:rsidR="00000000" w:rsidRPr="00000000">
        <w:rPr>
          <w:color w:val="222222"/>
          <w:highlight w:val="white"/>
          <w:rtl w:val="0"/>
        </w:rPr>
        <w:t xml:space="preserve">91* Corey S. Capps, De Rockford a Joplin y viceversa: El impacto de la economía en la aplicación de las fusiones hospitalarias, 59 Antitrust Bull. 443 (2014) (revisando el turno).</w:t>
      </w:r>
    </w:p>
    <w:p w:rsidR="00000000" w:rsidDel="00000000" w:rsidP="00000000" w:rsidRDefault="00000000" w:rsidRPr="00000000" w14:paraId="000000F8">
      <w:pPr>
        <w:spacing w:line="360" w:lineRule="auto"/>
        <w:jc w:val="both"/>
        <w:rPr>
          <w:color w:val="222222"/>
          <w:highlight w:val="white"/>
        </w:rPr>
      </w:pPr>
      <w:r w:rsidDel="00000000" w:rsidR="00000000" w:rsidRPr="00000000">
        <w:rPr>
          <w:color w:val="222222"/>
          <w:highlight w:val="white"/>
          <w:rtl w:val="0"/>
        </w:rPr>
        <w:t xml:space="preserve">92* Kenneth G. Elzinga y Thomas F. Hogarty, El problema de la delimitación del mercado geográfico en las demandas antifusiones, 18 Antitrust Bull. 45 (1973).</w:t>
      </w:r>
    </w:p>
    <w:p w:rsidR="00000000" w:rsidDel="00000000" w:rsidP="00000000" w:rsidRDefault="00000000" w:rsidRPr="00000000" w14:paraId="000000F9">
      <w:pPr>
        <w:spacing w:line="360" w:lineRule="auto"/>
        <w:jc w:val="both"/>
        <w:rPr>
          <w:color w:val="222222"/>
          <w:highlight w:val="white"/>
        </w:rPr>
      </w:pPr>
      <w:r w:rsidDel="00000000" w:rsidR="00000000" w:rsidRPr="00000000">
        <w:rPr>
          <w:color w:val="222222"/>
          <w:highlight w:val="white"/>
          <w:rtl w:val="0"/>
        </w:rPr>
        <w:t xml:space="preserve">93* David T. Scheffman y Pablo T. Spiller, Definición del mercado geográfico según las directrices sobre fusiones del Departamento de Justicia de EE. UU., 30 JL &amp; E coñ. 123 (1987).</w:t>
      </w:r>
    </w:p>
    <w:p w:rsidR="00000000" w:rsidDel="00000000" w:rsidP="00000000" w:rsidRDefault="00000000" w:rsidRPr="00000000" w14:paraId="000000FA">
      <w:pPr>
        <w:spacing w:line="360" w:lineRule="auto"/>
        <w:jc w:val="both"/>
        <w:rPr>
          <w:color w:val="222222"/>
          <w:highlight w:val="white"/>
        </w:rPr>
      </w:pPr>
      <w:r w:rsidDel="00000000" w:rsidR="00000000" w:rsidRPr="00000000">
        <w:rPr>
          <w:color w:val="222222"/>
          <w:highlight w:val="white"/>
          <w:rtl w:val="0"/>
        </w:rPr>
        <w:t xml:space="preserve">94* En re Evanston Ñw. Corporación de Salud, Ño. 9315, 2007 WL 2286195, en *3 (FTC 6 de agosto de 2007).</w:t>
      </w:r>
    </w:p>
    <w:p w:rsidR="00000000" w:rsidDel="00000000" w:rsidP="00000000" w:rsidRDefault="00000000" w:rsidRPr="00000000" w14:paraId="000000FB">
      <w:pPr>
        <w:spacing w:line="360" w:lineRule="auto"/>
        <w:jc w:val="both"/>
        <w:rPr>
          <w:color w:val="222222"/>
          <w:highlight w:val="white"/>
        </w:rPr>
      </w:pPr>
      <w:r w:rsidDel="00000000" w:rsidR="00000000" w:rsidRPr="00000000">
        <w:rPr>
          <w:color w:val="222222"/>
          <w:highlight w:val="white"/>
          <w:rtl w:val="0"/>
        </w:rPr>
        <w:t xml:space="preserve">95* Véase División de Atención Médica, Oficina de Competencia, Fed. Trade Comm'n, Descripción general de las acciones de la FTC en servicios y productos de atención médica 50-82 (2018), https://www.ftc.gov/system/files/attachments/competition-policy-guidance/overview_health _care_august_2018.pdf [https //perma.cc/DEH5-WXBV].</w:t>
      </w:r>
    </w:p>
    <w:p w:rsidR="00000000" w:rsidDel="00000000" w:rsidP="00000000" w:rsidRDefault="00000000" w:rsidRPr="00000000" w14:paraId="000000FC">
      <w:pPr>
        <w:spacing w:line="360" w:lineRule="auto"/>
        <w:jc w:val="both"/>
        <w:rPr>
          <w:color w:val="222222"/>
          <w:highlight w:val="white"/>
        </w:rPr>
      </w:pPr>
      <w:r w:rsidDel="00000000" w:rsidR="00000000" w:rsidRPr="00000000">
        <w:rPr>
          <w:color w:val="222222"/>
          <w:highlight w:val="white"/>
          <w:rtl w:val="0"/>
        </w:rPr>
        <w:t xml:space="preserve">96* Como padre de tres hijos maravillosos, he aprendido que la justicia significa “es justo si me beneficio pero no si no”, seguido de insultos entre los niños, gritos y sentimientos heridos. Cuando hay más dinero en juego, como en el caso antimonopolio, los insultos y los gritos son peores.</w:t>
      </w:r>
    </w:p>
    <w:p w:rsidR="00000000" w:rsidDel="00000000" w:rsidP="00000000" w:rsidRDefault="00000000" w:rsidRPr="00000000" w14:paraId="000000FD">
      <w:pPr>
        <w:spacing w:line="360" w:lineRule="auto"/>
        <w:jc w:val="both"/>
        <w:rPr>
          <w:color w:val="222222"/>
          <w:highlight w:val="white"/>
        </w:rPr>
      </w:pPr>
      <w:r w:rsidDel="00000000" w:rsidR="00000000" w:rsidRPr="00000000">
        <w:rPr>
          <w:color w:val="222222"/>
          <w:highlight w:val="white"/>
          <w:rtl w:val="0"/>
        </w:rPr>
        <w:t xml:space="preserve">97* Luke M. Froeb et al., Economía en la División Antimonopolio: 2017-2018, 53 Rev. Indus. Org. 637, 638(2018).</w:t>
      </w:r>
    </w:p>
    <w:p w:rsidR="00000000" w:rsidDel="00000000" w:rsidP="00000000" w:rsidRDefault="00000000" w:rsidRPr="00000000" w14:paraId="000000FE">
      <w:pPr>
        <w:spacing w:line="360" w:lineRule="auto"/>
        <w:jc w:val="both"/>
        <w:rPr>
          <w:color w:val="222222"/>
          <w:highlight w:val="white"/>
        </w:rPr>
      </w:pPr>
      <w:r w:rsidDel="00000000" w:rsidR="00000000" w:rsidRPr="00000000">
        <w:rPr>
          <w:color w:val="222222"/>
          <w:highlight w:val="white"/>
          <w:rtl w:val="0"/>
        </w:rPr>
        <w:t xml:space="preserve">98* Véase Luke M. Froeb et al., The Economics of Organizing Economists, 76 Antitrust LJ 569, 575-77 (2009).</w:t>
      </w:r>
    </w:p>
    <w:p w:rsidR="00000000" w:rsidDel="00000000" w:rsidP="00000000" w:rsidRDefault="00000000" w:rsidRPr="00000000" w14:paraId="000000FF">
      <w:pPr>
        <w:spacing w:line="360" w:lineRule="auto"/>
        <w:jc w:val="both"/>
        <w:rPr>
          <w:color w:val="222222"/>
          <w:highlight w:val="white"/>
        </w:rPr>
      </w:pPr>
      <w:r w:rsidDel="00000000" w:rsidR="00000000" w:rsidRPr="00000000">
        <w:rPr>
          <w:color w:val="222222"/>
          <w:highlight w:val="white"/>
          <w:rtl w:val="0"/>
        </w:rPr>
        <w:t xml:space="preserve">99* Véase en general The Oxford Handbook of International Antitrust Economics (Roger D. Blair &amp; D. Daniel Sokol eds., 2015).</w:t>
      </w:r>
    </w:p>
    <w:p w:rsidR="00000000" w:rsidDel="00000000" w:rsidP="00000000" w:rsidRDefault="00000000" w:rsidRPr="00000000" w14:paraId="00000100">
      <w:pPr>
        <w:spacing w:line="360" w:lineRule="auto"/>
        <w:jc w:val="both"/>
        <w:rPr>
          <w:color w:val="222222"/>
          <w:highlight w:val="white"/>
        </w:rPr>
      </w:pPr>
      <w:r w:rsidDel="00000000" w:rsidR="00000000" w:rsidRPr="00000000">
        <w:rPr>
          <w:color w:val="222222"/>
          <w:highlight w:val="white"/>
          <w:rtl w:val="0"/>
        </w:rPr>
        <w:t xml:space="preserve">100* Véase Ill. Tool Works Inc. v. Indep. Ink, Inc., 547 US 28, 44-45 (2006); Eastman Kodak Co. contra Image Tech. Servs., Inc., 504 EE.UU. 451, 483-85 (1992); Estados Unidos contra Am. Telf. y tel. Co., 552 F. Supp. 131, 150, 166-70 (DDC 1982).</w:t>
      </w:r>
    </w:p>
    <w:p w:rsidR="00000000" w:rsidDel="00000000" w:rsidP="00000000" w:rsidRDefault="00000000" w:rsidRPr="00000000" w14:paraId="00000101">
      <w:pPr>
        <w:spacing w:line="360" w:lineRule="auto"/>
        <w:jc w:val="both"/>
        <w:rPr>
          <w:color w:val="222222"/>
          <w:highlight w:val="white"/>
        </w:rPr>
      </w:pPr>
      <w:r w:rsidDel="00000000" w:rsidR="00000000" w:rsidRPr="00000000">
        <w:rPr>
          <w:color w:val="222222"/>
          <w:highlight w:val="white"/>
          <w:rtl w:val="0"/>
        </w:rPr>
        <w:t xml:space="preserve">101* Véase Estados Unidos v. Am. Can Co., 230 F. 859, 901-04 (D. Maryland 1916).</w:t>
      </w:r>
    </w:p>
    <w:p w:rsidR="00000000" w:rsidDel="00000000" w:rsidP="00000000" w:rsidRDefault="00000000" w:rsidRPr="00000000" w14:paraId="00000102">
      <w:pPr>
        <w:spacing w:line="360" w:lineRule="auto"/>
        <w:jc w:val="both"/>
        <w:rPr>
          <w:color w:val="222222"/>
          <w:highlight w:val="white"/>
        </w:rPr>
      </w:pPr>
      <w:r w:rsidDel="00000000" w:rsidR="00000000" w:rsidRPr="00000000">
        <w:rPr>
          <w:color w:val="222222"/>
          <w:highlight w:val="white"/>
          <w:rtl w:val="0"/>
        </w:rPr>
        <w:t xml:space="preserve">102* Ver Autobús. Elec. Corp. contra Sharp Elecs. Corp., 485 US 717, 732 (1988) (“La Ley Sherman adoptó el término 'restricción del comercio' junto con su potencial dinámico. Invoca el derecho consuetudinario en sí, y no simplemente el contenido estático que el derecho consuetudinario había asignado a el término en 1890”).</w:t>
      </w:r>
    </w:p>
    <w:p w:rsidR="00000000" w:rsidDel="00000000" w:rsidP="00000000" w:rsidRDefault="00000000" w:rsidRPr="00000000" w14:paraId="00000103">
      <w:pPr>
        <w:spacing w:line="360" w:lineRule="auto"/>
        <w:jc w:val="both"/>
        <w:rPr>
          <w:color w:val="222222"/>
          <w:highlight w:val="white"/>
        </w:rPr>
      </w:pPr>
      <w:r w:rsidDel="00000000" w:rsidR="00000000" w:rsidRPr="00000000">
        <w:rPr>
          <w:color w:val="222222"/>
          <w:highlight w:val="white"/>
          <w:rtl w:val="0"/>
        </w:rPr>
        <w:t xml:space="preserve">103* Estados Unidos contra Corn Prods. Árbitro. Co., 234 F. 964, 1012 (SDÑ.Y. 1916).</w:t>
      </w:r>
    </w:p>
    <w:p w:rsidR="00000000" w:rsidDel="00000000" w:rsidP="00000000" w:rsidRDefault="00000000" w:rsidRPr="00000000" w14:paraId="00000104">
      <w:pPr>
        <w:spacing w:line="360" w:lineRule="auto"/>
        <w:jc w:val="both"/>
        <w:rPr>
          <w:color w:val="222222"/>
          <w:highlight w:val="white"/>
        </w:rPr>
      </w:pPr>
      <w:r w:rsidDel="00000000" w:rsidR="00000000" w:rsidRPr="00000000">
        <w:rPr>
          <w:color w:val="222222"/>
          <w:highlight w:val="white"/>
          <w:rtl w:val="0"/>
        </w:rPr>
        <w:t xml:space="preserve">104* Véase Kovacic y Shapiro, supra nota 67, en 43.</w:t>
      </w:r>
    </w:p>
    <w:p w:rsidR="00000000" w:rsidDel="00000000" w:rsidP="00000000" w:rsidRDefault="00000000" w:rsidRPr="00000000" w14:paraId="00000105">
      <w:pPr>
        <w:spacing w:line="360" w:lineRule="auto"/>
        <w:jc w:val="both"/>
        <w:rPr>
          <w:color w:val="222222"/>
          <w:highlight w:val="white"/>
        </w:rPr>
      </w:pPr>
      <w:r w:rsidDel="00000000" w:rsidR="00000000" w:rsidRPr="00000000">
        <w:rPr>
          <w:color w:val="222222"/>
          <w:highlight w:val="white"/>
          <w:rtl w:val="0"/>
        </w:rPr>
        <w:t xml:space="preserve">105* Véase Cary Coglianese y Daniel E. Walters, Agenda-Setting in the Regulatory State: Theory and Evidence, 68 Admiñ. L. Rev. 93, 99 (2016); Stigler, supra nota 10; véase también Simon F. Haeder y Susan Webb Yackee, Influencia y proceso administrativo: cabildeo en la Oficina de Gestión y Presupuesto del Presidente de EE. UU., 109 Am. Pol. Ciencia. Rev. 507 (2015) (observando la captura regulatoria por parte de grupos de interés en el proceso de revisión de la Oficina de Gerencia y Presupuesto); Sokol, supra nota 10, en 1037, 1039</w:t>
      </w:r>
    </w:p>
    <w:p w:rsidR="00000000" w:rsidDel="00000000" w:rsidP="00000000" w:rsidRDefault="00000000" w:rsidRPr="00000000" w14:paraId="00000106">
      <w:pPr>
        <w:spacing w:line="360" w:lineRule="auto"/>
        <w:jc w:val="both"/>
        <w:rPr>
          <w:color w:val="222222"/>
          <w:highlight w:val="white"/>
        </w:rPr>
      </w:pPr>
      <w:r w:rsidDel="00000000" w:rsidR="00000000" w:rsidRPr="00000000">
        <w:rPr>
          <w:color w:val="222222"/>
          <w:highlight w:val="white"/>
          <w:rtl w:val="0"/>
        </w:rPr>
        <w:t xml:space="preserve">106* Véase Howard A. Shelanski, La ley antimonopolio como regulación de los medios de comunicación: ¿pueden los estándares de fusiones proteger el interés público?, 94 Calif. L. Rev. 371, 372-73 (2006).</w:t>
      </w:r>
    </w:p>
    <w:p w:rsidR="00000000" w:rsidDel="00000000" w:rsidP="00000000" w:rsidRDefault="00000000" w:rsidRPr="00000000" w14:paraId="00000107">
      <w:pPr>
        <w:spacing w:line="360" w:lineRule="auto"/>
        <w:jc w:val="both"/>
        <w:rPr>
          <w:color w:val="222222"/>
          <w:highlight w:val="white"/>
        </w:rPr>
      </w:pPr>
      <w:r w:rsidDel="00000000" w:rsidR="00000000" w:rsidRPr="00000000">
        <w:rPr>
          <w:color w:val="222222"/>
          <w:highlight w:val="white"/>
          <w:rtl w:val="0"/>
        </w:rPr>
        <w:t xml:space="preserve">107* Véase Cass R. Sunstein, Television and the Public Interest, 88 Calif. L. Rev. 499, 501 (2000) (“Existe una gran diferencia entre el interés público y lo que interesa al público”).</w:t>
      </w:r>
    </w:p>
    <w:p w:rsidR="00000000" w:rsidDel="00000000" w:rsidP="00000000" w:rsidRDefault="00000000" w:rsidRPr="00000000" w14:paraId="00000108">
      <w:pPr>
        <w:spacing w:line="360" w:lineRule="auto"/>
        <w:jc w:val="both"/>
        <w:rPr>
          <w:color w:val="222222"/>
          <w:highlight w:val="white"/>
        </w:rPr>
      </w:pPr>
      <w:r w:rsidDel="00000000" w:rsidR="00000000" w:rsidRPr="00000000">
        <w:rPr>
          <w:color w:val="222222"/>
          <w:highlight w:val="white"/>
          <w:rtl w:val="0"/>
        </w:rPr>
        <w:t xml:space="preserve">108* Véase, por ejemplo, Hasan Chowdhury, China's Tech Giants Have Conquered the East, Now for the West, Telegraph (23 de septiembre de 2018, 15:30), https://www.telegraph.co.uk/technology /2018 /09/23/los gigantes-tecnológicos-de-china-han-conquistado-este-ahora-oeste/ [https://perma.cc/9FQF-HBW8].</w:t>
      </w:r>
    </w:p>
    <w:p w:rsidR="00000000" w:rsidDel="00000000" w:rsidP="00000000" w:rsidRDefault="00000000" w:rsidRPr="00000000" w14:paraId="00000109">
      <w:pPr>
        <w:spacing w:line="360" w:lineRule="auto"/>
        <w:jc w:val="both"/>
        <w:rPr>
          <w:color w:val="222222"/>
          <w:highlight w:val="white"/>
        </w:rPr>
      </w:pPr>
      <w:r w:rsidDel="00000000" w:rsidR="00000000" w:rsidRPr="00000000">
        <w:rPr>
          <w:color w:val="222222"/>
          <w:highlight w:val="white"/>
          <w:rtl w:val="0"/>
        </w:rPr>
        <w:t xml:space="preserve">109* Véase, por ejemplo, Ohio v. Am. Express Co., 138 S. Ct. 2274 (2018). Véase en general David S. Evans y Richard Schmalensee, The Antitrust Analysis of Multilateral Platform Businesses, en 1 The Oxford Handbook of International Antitrust Economics, supra nota 99, en 404; Thomas Eisenmann et al., Platform Envelopment, 32 STRATEGIC MgmT. J. 1270 (2011); Feng Zhu y Marco Iansiti, Entrada a mercados basados en plataformas, 33 STRATEGIC MgmT. J. 88 (2012).</w:t>
      </w:r>
    </w:p>
    <w:p w:rsidR="00000000" w:rsidDel="00000000" w:rsidP="00000000" w:rsidRDefault="00000000" w:rsidRPr="00000000" w14:paraId="0000010A">
      <w:pPr>
        <w:spacing w:line="360" w:lineRule="auto"/>
        <w:jc w:val="both"/>
        <w:rPr>
          <w:color w:val="222222"/>
          <w:highlight w:val="white"/>
        </w:rPr>
      </w:pPr>
      <w:r w:rsidDel="00000000" w:rsidR="00000000" w:rsidRPr="00000000">
        <w:rPr>
          <w:color w:val="222222"/>
          <w:highlight w:val="white"/>
          <w:rtl w:val="0"/>
        </w:rPr>
        <w:t xml:space="preserve">110* Dawn R. DeTienne et al., Cómo entender las estrategias de salida empresarial: una tipología y una prueba, 30 J. Bus. VeñTURING 255, 256 (2015).</w:t>
      </w:r>
    </w:p>
    <w:p w:rsidR="00000000" w:rsidDel="00000000" w:rsidP="00000000" w:rsidRDefault="00000000" w:rsidRPr="00000000" w14:paraId="0000010B">
      <w:pPr>
        <w:spacing w:line="360" w:lineRule="auto"/>
        <w:jc w:val="both"/>
        <w:rPr>
          <w:color w:val="222222"/>
          <w:highlight w:val="white"/>
        </w:rPr>
      </w:pPr>
      <w:r w:rsidDel="00000000" w:rsidR="00000000" w:rsidRPr="00000000">
        <w:rPr>
          <w:color w:val="222222"/>
          <w:highlight w:val="white"/>
          <w:rtl w:val="0"/>
        </w:rPr>
        <w:t xml:space="preserve">111* William R. Kerr et al., El emprendimiento como experimentación, J. Ecoñ. Persp., Verano de 2014, en 25, 25-26.</w:t>
      </w:r>
    </w:p>
    <w:p w:rsidR="00000000" w:rsidDel="00000000" w:rsidP="00000000" w:rsidRDefault="00000000" w:rsidRPr="00000000" w14:paraId="0000010C">
      <w:pPr>
        <w:spacing w:line="360" w:lineRule="auto"/>
        <w:jc w:val="both"/>
        <w:rPr>
          <w:color w:val="222222"/>
          <w:highlight w:val="white"/>
        </w:rPr>
      </w:pPr>
      <w:r w:rsidDel="00000000" w:rsidR="00000000" w:rsidRPr="00000000">
        <w:rPr>
          <w:color w:val="222222"/>
          <w:highlight w:val="white"/>
          <w:rtl w:val="0"/>
        </w:rPr>
        <w:t xml:space="preserve">112* Ver ídem. en 26.</w:t>
      </w:r>
    </w:p>
    <w:p w:rsidR="00000000" w:rsidDel="00000000" w:rsidP="00000000" w:rsidRDefault="00000000" w:rsidRPr="00000000" w14:paraId="0000010D">
      <w:pPr>
        <w:spacing w:line="360" w:lineRule="auto"/>
        <w:jc w:val="both"/>
        <w:rPr>
          <w:color w:val="222222"/>
          <w:highlight w:val="white"/>
        </w:rPr>
      </w:pPr>
      <w:r w:rsidDel="00000000" w:rsidR="00000000" w:rsidRPr="00000000">
        <w:rPr>
          <w:color w:val="222222"/>
          <w:highlight w:val="white"/>
          <w:rtl w:val="0"/>
        </w:rPr>
        <w:t xml:space="preserve">113* Geoffrey Gregson, Financiación de nuevas empresas: una guía para emprendedores sobre inversiones de business angels 31 (2014).</w:t>
      </w:r>
    </w:p>
    <w:p w:rsidR="00000000" w:rsidDel="00000000" w:rsidP="00000000" w:rsidRDefault="00000000" w:rsidRPr="00000000" w14:paraId="0000010E">
      <w:pPr>
        <w:spacing w:line="360" w:lineRule="auto"/>
        <w:jc w:val="both"/>
        <w:rPr>
          <w:color w:val="222222"/>
          <w:highlight w:val="white"/>
        </w:rPr>
      </w:pPr>
      <w:r w:rsidDel="00000000" w:rsidR="00000000" w:rsidRPr="00000000">
        <w:rPr>
          <w:color w:val="222222"/>
          <w:highlight w:val="white"/>
          <w:rtl w:val="0"/>
        </w:rPr>
        <w:t xml:space="preserve">114* Michael Ewens et al., Costo de la experimentación y evolución del capital de riesgo, 128 J. Fin. Ecoñ. 422, 423 (2018) (que describe esto como una estrategia de “rociar y orar”).</w:t>
      </w:r>
    </w:p>
    <w:p w:rsidR="00000000" w:rsidDel="00000000" w:rsidP="00000000" w:rsidRDefault="00000000" w:rsidRPr="00000000" w14:paraId="0000010F">
      <w:pPr>
        <w:spacing w:line="360" w:lineRule="auto"/>
        <w:jc w:val="both"/>
        <w:rPr>
          <w:color w:val="222222"/>
          <w:highlight w:val="white"/>
        </w:rPr>
      </w:pPr>
      <w:r w:rsidDel="00000000" w:rsidR="00000000" w:rsidRPr="00000000">
        <w:rPr>
          <w:color w:val="222222"/>
          <w:highlight w:val="white"/>
          <w:rtl w:val="0"/>
        </w:rPr>
        <w:t xml:space="preserve">115* Véase Will Drover et al., Revisión y hoja de ruta de la investigación sobre financiación de capital emprendedor: capital de riesgo, capital de riesgo corporativo, inversión ángel, crowdfunding y aceleradores, 43 J. MgmT. 1820, 1835 (2017).</w:t>
      </w:r>
    </w:p>
    <w:p w:rsidR="00000000" w:rsidDel="00000000" w:rsidP="00000000" w:rsidRDefault="00000000" w:rsidRPr="00000000" w14:paraId="00000110">
      <w:pPr>
        <w:spacing w:line="360" w:lineRule="auto"/>
        <w:jc w:val="both"/>
        <w:rPr>
          <w:color w:val="222222"/>
          <w:highlight w:val="white"/>
        </w:rPr>
      </w:pPr>
      <w:r w:rsidDel="00000000" w:rsidR="00000000" w:rsidRPr="00000000">
        <w:rPr>
          <w:color w:val="222222"/>
          <w:highlight w:val="white"/>
          <w:rtl w:val="0"/>
        </w:rPr>
        <w:t xml:space="preserve">116* D. Gordon Smith, La estructura de salida del capital riesgo, 53 UCLA L. Rev. 315, 319 20 (2005).</w:t>
      </w:r>
    </w:p>
    <w:p w:rsidR="00000000" w:rsidDel="00000000" w:rsidP="00000000" w:rsidRDefault="00000000" w:rsidRPr="00000000" w14:paraId="00000111">
      <w:pPr>
        <w:spacing w:line="360" w:lineRule="auto"/>
        <w:jc w:val="both"/>
        <w:rPr>
          <w:color w:val="222222"/>
          <w:highlight w:val="white"/>
        </w:rPr>
      </w:pPr>
      <w:r w:rsidDel="00000000" w:rsidR="00000000" w:rsidRPr="00000000">
        <w:rPr>
          <w:color w:val="222222"/>
          <w:highlight w:val="white"/>
          <w:rtl w:val="0"/>
        </w:rPr>
        <w:t xml:space="preserve">117* Véase Russell W. Coff, Cómo los compradores afrontan la incertidumbre al adquirir empresas en industrias intensivas en conocimiento: Caveat Emptor, 10ORG. Ciencia. 144, 144 (1999).</w:t>
      </w:r>
    </w:p>
    <w:p w:rsidR="00000000" w:rsidDel="00000000" w:rsidP="00000000" w:rsidRDefault="00000000" w:rsidRPr="00000000" w14:paraId="00000112">
      <w:pPr>
        <w:spacing w:line="360" w:lineRule="auto"/>
        <w:jc w:val="both"/>
        <w:rPr>
          <w:color w:val="222222"/>
          <w:highlight w:val="white"/>
        </w:rPr>
      </w:pPr>
      <w:r w:rsidDel="00000000" w:rsidR="00000000" w:rsidRPr="00000000">
        <w:rPr>
          <w:color w:val="222222"/>
          <w:highlight w:val="white"/>
          <w:rtl w:val="0"/>
        </w:rPr>
        <w:t xml:space="preserve">118* Patricia M. Danzón et al., Fusiones y Adquisiciones en las Industrias Farmacéutica y Biotecnológica, 28 Managerial &amp; DECISION Ecoñ. 307, 325 (2007); véase también Ñils Behnke y Ñorbert Hültenschmidt, New Path to Profits in Biotech: Taking the Acquisition Exit, 78 J. Com. Biotecnología 78, 78 (2007).</w:t>
      </w:r>
    </w:p>
    <w:p w:rsidR="00000000" w:rsidDel="00000000" w:rsidP="00000000" w:rsidRDefault="00000000" w:rsidRPr="00000000" w14:paraId="00000113">
      <w:pPr>
        <w:spacing w:line="360" w:lineRule="auto"/>
        <w:jc w:val="both"/>
        <w:rPr>
          <w:color w:val="222222"/>
          <w:highlight w:val="white"/>
        </w:rPr>
      </w:pPr>
      <w:r w:rsidDel="00000000" w:rsidR="00000000" w:rsidRPr="00000000">
        <w:rPr>
          <w:color w:val="222222"/>
          <w:highlight w:val="white"/>
          <w:rtl w:val="0"/>
        </w:rPr>
        <w:t xml:space="preserve">119* D. Daniel Sokol, Fusiones verticales y salida empresarial, 70 Fla. L. Rev. 1357, 1377 (2018).</w:t>
      </w:r>
    </w:p>
    <w:p w:rsidR="00000000" w:rsidDel="00000000" w:rsidP="00000000" w:rsidRDefault="00000000" w:rsidRPr="00000000" w14:paraId="00000114">
      <w:pPr>
        <w:spacing w:line="360" w:lineRule="auto"/>
        <w:jc w:val="both"/>
        <w:rPr>
          <w:color w:val="222222"/>
          <w:highlight w:val="white"/>
        </w:rPr>
      </w:pPr>
      <w:r w:rsidDel="00000000" w:rsidR="00000000" w:rsidRPr="00000000">
        <w:rPr>
          <w:color w:val="222222"/>
          <w:highlight w:val="white"/>
          <w:rtl w:val="0"/>
        </w:rPr>
        <w:t xml:space="preserve">120* Véase Sokol, supra nota 31.</w:t>
      </w:r>
    </w:p>
    <w:p w:rsidR="00000000" w:rsidDel="00000000" w:rsidP="00000000" w:rsidRDefault="00000000" w:rsidRPr="00000000" w14:paraId="00000115">
      <w:pPr>
        <w:spacing w:line="360" w:lineRule="auto"/>
        <w:jc w:val="both"/>
        <w:rPr>
          <w:color w:val="222222"/>
          <w:highlight w:val="white"/>
        </w:rPr>
      </w:pPr>
      <w:r w:rsidDel="00000000" w:rsidR="00000000" w:rsidRPr="00000000">
        <w:rPr>
          <w:color w:val="222222"/>
          <w:highlight w:val="white"/>
          <w:rtl w:val="0"/>
        </w:rPr>
        <w:t xml:space="preserve">121* Ídem. en 2069.</w:t>
      </w:r>
    </w:p>
    <w:p w:rsidR="00000000" w:rsidDel="00000000" w:rsidP="00000000" w:rsidRDefault="00000000" w:rsidRPr="00000000" w14:paraId="00000116">
      <w:pPr>
        <w:spacing w:line="360" w:lineRule="auto"/>
        <w:jc w:val="both"/>
        <w:rPr>
          <w:color w:val="222222"/>
          <w:highlight w:val="white"/>
        </w:rPr>
      </w:pPr>
      <w:r w:rsidDel="00000000" w:rsidR="00000000" w:rsidRPr="00000000">
        <w:rPr>
          <w:color w:val="222222"/>
          <w:highlight w:val="white"/>
          <w:rtl w:val="0"/>
        </w:rPr>
        <w:t xml:space="preserve">122* Comité de Modernización Antimonopolio, Informe y Recomendaciones 312-25 (2007), https://govinfo.library.unt.edu/amc/report_recommendation/amc_final_report.pdf [http://perma.cc/EAB5-VXL8] .</w:t>
      </w:r>
    </w:p>
    <w:p w:rsidR="00000000" w:rsidDel="00000000" w:rsidP="00000000" w:rsidRDefault="00000000" w:rsidRPr="00000000" w14:paraId="00000117">
      <w:pPr>
        <w:spacing w:line="360" w:lineRule="auto"/>
        <w:jc w:val="both"/>
        <w:rPr>
          <w:color w:val="222222"/>
          <w:highlight w:val="white"/>
        </w:rPr>
      </w:pPr>
      <w:r w:rsidDel="00000000" w:rsidR="00000000" w:rsidRPr="00000000">
        <w:rPr>
          <w:color w:val="222222"/>
          <w:highlight w:val="white"/>
          <w:rtl w:val="0"/>
        </w:rPr>
        <w:t xml:space="preserve">123* Herbert Hovenkamp, Antimonopolio posterior a Chicago: revisión y crítica, 2001 Colum. Autobús. L. Rev. 257.</w:t>
      </w:r>
    </w:p>
    <w:p w:rsidR="00000000" w:rsidDel="00000000" w:rsidP="00000000" w:rsidRDefault="00000000" w:rsidRPr="00000000" w14:paraId="00000118">
      <w:pPr>
        <w:spacing w:line="360" w:lineRule="auto"/>
        <w:jc w:val="both"/>
        <w:rPr>
          <w:color w:val="222222"/>
          <w:highlight w:val="white"/>
        </w:rPr>
      </w:pPr>
      <w:r w:rsidDel="00000000" w:rsidR="00000000" w:rsidRPr="00000000">
        <w:rPr>
          <w:color w:val="222222"/>
          <w:highlight w:val="white"/>
          <w:rtl w:val="0"/>
        </w:rPr>
        <w:t xml:space="preserve">124* Robert H. Bork, La paradoja antimonopolio 384 (1978); Ricardo A. Posner, La Ley Robinson-Patman (1976); Kenneth G. Elzinga &amp; Thomas F. Hogarty, Utah Pie y las consecuencias de Robinson-Patman, 21 JL &amp; Ecoñ. 427 (1978); Herbert Hovenkamp, La Ley Robinson-Patman y la competencia: asuntos pendientes, 68 Antimonopolio LJ 125, 125 (2000); Sokol, supra nota 31.</w:t>
      </w:r>
    </w:p>
    <w:p w:rsidR="00000000" w:rsidDel="00000000" w:rsidP="00000000" w:rsidRDefault="00000000" w:rsidRPr="00000000" w14:paraId="00000119">
      <w:pPr>
        <w:spacing w:line="360" w:lineRule="auto"/>
        <w:jc w:val="both"/>
        <w:rPr>
          <w:color w:val="222222"/>
          <w:highlight w:val="white"/>
        </w:rPr>
      </w:pPr>
      <w:r w:rsidDel="00000000" w:rsidR="00000000" w:rsidRPr="00000000">
        <w:rPr>
          <w:color w:val="222222"/>
          <w:highlight w:val="white"/>
          <w:rtl w:val="0"/>
        </w:rPr>
        <w:t xml:space="preserve">125* Comisión de Modernización Antimonopolio, supra nota 122, en i, iii.</w:t>
      </w:r>
    </w:p>
    <w:p w:rsidR="00000000" w:rsidDel="00000000" w:rsidP="00000000" w:rsidRDefault="00000000" w:rsidRPr="00000000" w14:paraId="0000011A">
      <w:pPr>
        <w:spacing w:line="360" w:lineRule="auto"/>
        <w:jc w:val="both"/>
        <w:rPr>
          <w:color w:val="222222"/>
          <w:highlight w:val="white"/>
        </w:rPr>
      </w:pPr>
      <w:r w:rsidDel="00000000" w:rsidR="00000000" w:rsidRPr="00000000">
        <w:rPr>
          <w:color w:val="222222"/>
          <w:highlight w:val="white"/>
          <w:rtl w:val="0"/>
        </w:rPr>
        <w:t xml:space="preserve">126* 15 USC §§ 13-13a (2012).</w:t>
      </w:r>
    </w:p>
    <w:p w:rsidR="00000000" w:rsidDel="00000000" w:rsidP="00000000" w:rsidRDefault="00000000" w:rsidRPr="00000000" w14:paraId="0000011B">
      <w:pPr>
        <w:spacing w:line="360" w:lineRule="auto"/>
        <w:jc w:val="both"/>
        <w:rPr>
          <w:color w:val="222222"/>
          <w:highlight w:val="white"/>
        </w:rPr>
      </w:pPr>
      <w:r w:rsidDel="00000000" w:rsidR="00000000" w:rsidRPr="00000000">
        <w:rPr>
          <w:color w:val="222222"/>
          <w:highlight w:val="white"/>
          <w:rtl w:val="0"/>
        </w:rPr>
        <w:t xml:space="preserve">127* Sokol, supra nota 31, en 2069.</w:t>
      </w:r>
    </w:p>
    <w:p w:rsidR="00000000" w:rsidDel="00000000" w:rsidP="00000000" w:rsidRDefault="00000000" w:rsidRPr="00000000" w14:paraId="0000011C">
      <w:pPr>
        <w:spacing w:line="360" w:lineRule="auto"/>
        <w:jc w:val="both"/>
        <w:rPr>
          <w:color w:val="222222"/>
          <w:highlight w:val="white"/>
        </w:rPr>
      </w:pPr>
      <w:r w:rsidDel="00000000" w:rsidR="00000000" w:rsidRPr="00000000">
        <w:rPr>
          <w:color w:val="222222"/>
          <w:highlight w:val="white"/>
          <w:rtl w:val="0"/>
        </w:rPr>
        <w:t xml:space="preserve">128* Véase D. Daniel Sokol, Limitación de las intervenciones gubernamentales anticompetitivas que benefician a intereses especiales, 17 Geo. Masoñ L. Rev. 119, 128 (2009).</w:t>
      </w:r>
    </w:p>
    <w:p w:rsidR="00000000" w:rsidDel="00000000" w:rsidP="00000000" w:rsidRDefault="00000000" w:rsidRPr="00000000" w14:paraId="0000011D">
      <w:pPr>
        <w:spacing w:line="360" w:lineRule="auto"/>
        <w:jc w:val="both"/>
        <w:rPr>
          <w:color w:val="222222"/>
          <w:highlight w:val="white"/>
        </w:rPr>
      </w:pPr>
      <w:r w:rsidDel="00000000" w:rsidR="00000000" w:rsidRPr="00000000">
        <w:rPr>
          <w:color w:val="222222"/>
          <w:highlight w:val="white"/>
          <w:rtl w:val="0"/>
        </w:rPr>
        <w:t xml:space="preserve">129* Estados Unidos contra Topco Assocs., Inc., 405 US 596, 610 (1972).</w:t>
      </w:r>
    </w:p>
    <w:p w:rsidR="00000000" w:rsidDel="00000000" w:rsidP="00000000" w:rsidRDefault="00000000" w:rsidRPr="00000000" w14:paraId="0000011E">
      <w:pPr>
        <w:spacing w:line="360" w:lineRule="auto"/>
        <w:jc w:val="both"/>
        <w:rPr>
          <w:color w:val="222222"/>
          <w:highlight w:val="white"/>
        </w:rPr>
      </w:pPr>
      <w:r w:rsidDel="00000000" w:rsidR="00000000" w:rsidRPr="00000000">
        <w:rPr>
          <w:color w:val="222222"/>
          <w:highlight w:val="white"/>
          <w:rtl w:val="0"/>
        </w:rPr>
        <w:t xml:space="preserve">130* Earl W. Kintner y Joseph P. Bauer, La Ley Robinson-Patman: una mirada hacia atrás, una visión hacia adelante, 31 Antitrust Bull. 571, 571 (1986) (citando a HR Rep. ÑO. 94-1738, en 1 (1975)).</w:t>
      </w:r>
    </w:p>
    <w:p w:rsidR="00000000" w:rsidDel="00000000" w:rsidP="00000000" w:rsidRDefault="00000000" w:rsidRPr="00000000" w14:paraId="0000011F">
      <w:pPr>
        <w:spacing w:line="360" w:lineRule="auto"/>
        <w:jc w:val="both"/>
        <w:rPr>
          <w:color w:val="222222"/>
          <w:highlight w:val="white"/>
        </w:rPr>
      </w:pPr>
      <w:r w:rsidDel="00000000" w:rsidR="00000000" w:rsidRPr="00000000">
        <w:rPr>
          <w:color w:val="222222"/>
          <w:highlight w:val="white"/>
          <w:rtl w:val="0"/>
        </w:rPr>
        <w:t xml:space="preserve">131* FTC contra Morton SaltCo., 334 US 37, 43 (1948).</w:t>
      </w:r>
    </w:p>
    <w:p w:rsidR="00000000" w:rsidDel="00000000" w:rsidP="00000000" w:rsidRDefault="00000000" w:rsidRPr="00000000" w14:paraId="00000120">
      <w:pPr>
        <w:spacing w:line="360" w:lineRule="auto"/>
        <w:jc w:val="both"/>
        <w:rPr>
          <w:color w:val="222222"/>
          <w:highlight w:val="white"/>
        </w:rPr>
      </w:pPr>
      <w:r w:rsidDel="00000000" w:rsidR="00000000" w:rsidRPr="00000000">
        <w:rPr>
          <w:color w:val="222222"/>
          <w:highlight w:val="white"/>
          <w:rtl w:val="0"/>
        </w:rPr>
        <w:t xml:space="preserve">132* Comité de Modernización Antimonopolio, supra nota 122, en 317 (“[L]a Ley RobinsonPatman no tiene como objetivo la discriminación de precios perjudicial. Más bien, condena los precios bajos.”); identificación. en 318 (“La realidad económica es que las diferencias y la discriminación de precios generalmente benefician, no dañan, a los consumidores. En la medida en que la discriminación de precios (como la definen los economistas) puede dañar el bienestar del consumidor, otras leyes antimonopolio ya abordan esa conducta”).</w:t>
      </w:r>
    </w:p>
    <w:p w:rsidR="00000000" w:rsidDel="00000000" w:rsidP="00000000" w:rsidRDefault="00000000" w:rsidRPr="00000000" w14:paraId="00000121">
      <w:pPr>
        <w:spacing w:line="360" w:lineRule="auto"/>
        <w:jc w:val="both"/>
        <w:rPr>
          <w:color w:val="222222"/>
          <w:highlight w:val="white"/>
        </w:rPr>
      </w:pPr>
      <w:r w:rsidDel="00000000" w:rsidR="00000000" w:rsidRPr="00000000">
        <w:rPr>
          <w:color w:val="222222"/>
          <w:highlight w:val="white"/>
          <w:rtl w:val="0"/>
        </w:rPr>
        <w:t xml:space="preserve">133* Sokol, supra nota 31, en 2070-76</w:t>
      </w:r>
    </w:p>
    <w:p w:rsidR="00000000" w:rsidDel="00000000" w:rsidP="00000000" w:rsidRDefault="00000000" w:rsidRPr="00000000" w14:paraId="00000122">
      <w:pPr>
        <w:spacing w:line="360" w:lineRule="auto"/>
        <w:jc w:val="both"/>
        <w:rPr>
          <w:color w:val="222222"/>
          <w:highlight w:val="white"/>
        </w:rPr>
      </w:pPr>
      <w:r w:rsidDel="00000000" w:rsidR="00000000" w:rsidRPr="00000000">
        <w:rPr>
          <w:color w:val="222222"/>
          <w:highlight w:val="white"/>
          <w:rtl w:val="0"/>
        </w:rPr>
        <w:t xml:space="preserve">134* Barak Orbach y D. Daniel Sokol, Antitrust Energy, 85 S. Cal. L. Rev. 429, 439 (2012) (“La inercia de los temores al tamaño parece estar integrada en las leyes antimonopolio”).</w:t>
      </w:r>
    </w:p>
    <w:p w:rsidR="00000000" w:rsidDel="00000000" w:rsidP="00000000" w:rsidRDefault="00000000" w:rsidRPr="00000000" w14:paraId="00000123">
      <w:pPr>
        <w:spacing w:line="360" w:lineRule="auto"/>
        <w:jc w:val="both"/>
        <w:rPr>
          <w:color w:val="222222"/>
          <w:highlight w:val="white"/>
        </w:rPr>
      </w:pPr>
      <w:r w:rsidDel="00000000" w:rsidR="00000000" w:rsidRPr="00000000">
        <w:rPr>
          <w:color w:val="222222"/>
          <w:highlight w:val="white"/>
          <w:rtl w:val="0"/>
        </w:rPr>
        <w:t xml:space="preserve">135* Woodman's FoodMkt. contra Clorox Co., 833 F.3d 743, 746 (7th Cir.2016)</w:t>
      </w:r>
    </w:p>
    <w:p w:rsidR="00000000" w:rsidDel="00000000" w:rsidP="00000000" w:rsidRDefault="00000000" w:rsidRPr="00000000" w14:paraId="00000124">
      <w:pPr>
        <w:spacing w:line="360" w:lineRule="auto"/>
        <w:jc w:val="both"/>
        <w:rPr>
          <w:color w:val="222222"/>
          <w:highlight w:val="white"/>
        </w:rPr>
      </w:pPr>
      <w:r w:rsidDel="00000000" w:rsidR="00000000" w:rsidRPr="00000000">
        <w:rPr>
          <w:color w:val="222222"/>
          <w:highlight w:val="white"/>
          <w:rtl w:val="0"/>
        </w:rPr>
        <w:t xml:space="preserve">136* Morton Salt, 334 US en 49 (nota a pie de página omitida).</w:t>
      </w:r>
    </w:p>
    <w:p w:rsidR="00000000" w:rsidDel="00000000" w:rsidP="00000000" w:rsidRDefault="00000000" w:rsidRPr="00000000" w14:paraId="00000125">
      <w:pPr>
        <w:spacing w:line="360" w:lineRule="auto"/>
        <w:jc w:val="both"/>
        <w:rPr>
          <w:color w:val="222222"/>
          <w:highlight w:val="white"/>
        </w:rPr>
      </w:pPr>
      <w:r w:rsidDel="00000000" w:rsidR="00000000" w:rsidRPr="00000000">
        <w:rPr>
          <w:color w:val="222222"/>
          <w:highlight w:val="white"/>
          <w:rtl w:val="0"/>
        </w:rPr>
        <w:t xml:space="preserve">137* Sokol, supra nota 31, en 2071-73.</w:t>
      </w:r>
    </w:p>
    <w:p w:rsidR="00000000" w:rsidDel="00000000" w:rsidP="00000000" w:rsidRDefault="00000000" w:rsidRPr="00000000" w14:paraId="00000126">
      <w:pPr>
        <w:spacing w:line="360" w:lineRule="auto"/>
        <w:jc w:val="both"/>
        <w:rPr>
          <w:color w:val="222222"/>
          <w:highlight w:val="white"/>
        </w:rPr>
      </w:pPr>
      <w:r w:rsidDel="00000000" w:rsidR="00000000" w:rsidRPr="00000000">
        <w:rPr>
          <w:color w:val="222222"/>
          <w:highlight w:val="white"/>
          <w:rtl w:val="0"/>
        </w:rPr>
        <w:t xml:space="preserve">138* Ver ídem. en 2070-78.</w:t>
      </w:r>
    </w:p>
    <w:p w:rsidR="00000000" w:rsidDel="00000000" w:rsidP="00000000" w:rsidRDefault="00000000" w:rsidRPr="00000000" w14:paraId="00000127">
      <w:pPr>
        <w:spacing w:line="360" w:lineRule="auto"/>
        <w:jc w:val="both"/>
        <w:rPr>
          <w:color w:val="222222"/>
          <w:highlight w:val="white"/>
        </w:rPr>
      </w:pPr>
      <w:r w:rsidDel="00000000" w:rsidR="00000000" w:rsidRPr="00000000">
        <w:rPr>
          <w:color w:val="222222"/>
          <w:highlight w:val="white"/>
          <w:rtl w:val="0"/>
        </w:rPr>
        <w:t xml:space="preserve">139* Ídem. en 2077-83.</w:t>
      </w:r>
    </w:p>
    <w:p w:rsidR="00000000" w:rsidDel="00000000" w:rsidP="00000000" w:rsidRDefault="00000000" w:rsidRPr="00000000" w14:paraId="00000128">
      <w:pPr>
        <w:spacing w:line="360" w:lineRule="auto"/>
        <w:jc w:val="both"/>
        <w:rPr>
          <w:color w:val="222222"/>
          <w:highlight w:val="white"/>
        </w:rPr>
      </w:pPr>
      <w:r w:rsidDel="00000000" w:rsidR="00000000" w:rsidRPr="00000000">
        <w:rPr>
          <w:color w:val="222222"/>
          <w:highlight w:val="white"/>
          <w:rtl w:val="0"/>
        </w:rPr>
        <w:t xml:space="preserve">140* Departamento de Justicia, Informe sobre la Ley Robinson-Patman 250 (1977); ver también FM Scherer &amp; David Ross, Industrial Market Structure and Economic Performance 516 (3ª ed. 1990) (“[E]l peso del esfuerzo de la Comisión recayó sobre las pequeñas empresas que el Congreso buscaba proteger”).</w:t>
      </w:r>
    </w:p>
    <w:p w:rsidR="00000000" w:rsidDel="00000000" w:rsidP="00000000" w:rsidRDefault="00000000" w:rsidRPr="00000000" w14:paraId="00000129">
      <w:pPr>
        <w:spacing w:line="360" w:lineRule="auto"/>
        <w:jc w:val="both"/>
        <w:rPr>
          <w:color w:val="222222"/>
          <w:highlight w:val="white"/>
        </w:rPr>
      </w:pPr>
      <w:r w:rsidDel="00000000" w:rsidR="00000000" w:rsidRPr="00000000">
        <w:rPr>
          <w:color w:val="222222"/>
          <w:highlight w:val="white"/>
          <w:rtl w:val="0"/>
        </w:rPr>
        <w:t xml:space="preserve">141* Esfuerzos recientes para modificar o derogar la Ley Robinson-Patman—Parte 2: Audiencia ante el Subcomité Ad Hoc. sobre Antimonopolio, la Ley Robinson-Patman y Asuntos Relacionados del H. Comm. en Small Bus., 94th Cong. 141 (1975) (declaración de Frederic M. Scherer, Director, Oficina de Economía, Comisión Comercial de la Fed).</w:t>
      </w:r>
    </w:p>
    <w:p w:rsidR="00000000" w:rsidDel="00000000" w:rsidP="00000000" w:rsidRDefault="00000000" w:rsidRPr="00000000" w14:paraId="0000012A">
      <w:pPr>
        <w:spacing w:line="360" w:lineRule="auto"/>
        <w:jc w:val="both"/>
        <w:rPr>
          <w:color w:val="222222"/>
          <w:highlight w:val="white"/>
        </w:rPr>
      </w:pPr>
      <w:r w:rsidDel="00000000" w:rsidR="00000000" w:rsidRPr="00000000">
        <w:rPr>
          <w:color w:val="222222"/>
          <w:highlight w:val="white"/>
          <w:rtl w:val="0"/>
        </w:rPr>
        <w:t xml:space="preserve">142* 440 Estados Unidos 69, 80 (1979).</w:t>
      </w:r>
    </w:p>
    <w:p w:rsidR="00000000" w:rsidDel="00000000" w:rsidP="00000000" w:rsidRDefault="00000000" w:rsidRPr="00000000" w14:paraId="0000012B">
      <w:pPr>
        <w:spacing w:line="360" w:lineRule="auto"/>
        <w:jc w:val="both"/>
        <w:rPr>
          <w:color w:val="222222"/>
          <w:highlight w:val="white"/>
        </w:rPr>
      </w:pPr>
      <w:r w:rsidDel="00000000" w:rsidR="00000000" w:rsidRPr="00000000">
        <w:rPr>
          <w:color w:val="222222"/>
          <w:highlight w:val="white"/>
          <w:rtl w:val="0"/>
        </w:rPr>
        <w:t xml:space="preserve">143* J. Truett Payne Co. contra Chrysler Motors Corp., 451 US 557, 562 (1981).</w:t>
      </w:r>
    </w:p>
    <w:p w:rsidR="00000000" w:rsidDel="00000000" w:rsidP="00000000" w:rsidRDefault="00000000" w:rsidRPr="00000000" w14:paraId="0000012C">
      <w:pPr>
        <w:spacing w:line="360" w:lineRule="auto"/>
        <w:jc w:val="both"/>
        <w:rPr>
          <w:color w:val="222222"/>
          <w:highlight w:val="white"/>
        </w:rPr>
      </w:pPr>
      <w:r w:rsidDel="00000000" w:rsidR="00000000" w:rsidRPr="00000000">
        <w:rPr>
          <w:color w:val="222222"/>
          <w:highlight w:val="white"/>
          <w:rtl w:val="0"/>
        </w:rPr>
        <w:t xml:space="preserve">144* Ver Brooke Grp. Ltd. contra Brown &amp; Williamson Tobacco Corp., 509 US 209, 222 (1993).</w:t>
      </w:r>
    </w:p>
    <w:p w:rsidR="00000000" w:rsidDel="00000000" w:rsidP="00000000" w:rsidRDefault="00000000" w:rsidRPr="00000000" w14:paraId="0000012D">
      <w:pPr>
        <w:spacing w:line="360" w:lineRule="auto"/>
        <w:jc w:val="both"/>
        <w:rPr>
          <w:color w:val="222222"/>
          <w:highlight w:val="white"/>
        </w:rPr>
      </w:pPr>
      <w:r w:rsidDel="00000000" w:rsidR="00000000" w:rsidRPr="00000000">
        <w:rPr>
          <w:color w:val="222222"/>
          <w:highlight w:val="white"/>
          <w:rtl w:val="0"/>
        </w:rPr>
        <w:t xml:space="preserve">145* Roger D. Blair y Christina DePasquale, “La hora menos gloriosa de las leyes antimonopolio”: La Ley Robinson-Patman, 57 JL &amp; Ecoñ. S201, S213 (2014).</w:t>
      </w:r>
    </w:p>
    <w:p w:rsidR="00000000" w:rsidDel="00000000" w:rsidP="00000000" w:rsidRDefault="00000000" w:rsidRPr="00000000" w14:paraId="0000012E">
      <w:pPr>
        <w:spacing w:line="360" w:lineRule="auto"/>
        <w:jc w:val="both"/>
        <w:rPr>
          <w:color w:val="222222"/>
          <w:highlight w:val="white"/>
        </w:rPr>
      </w:pPr>
      <w:r w:rsidDel="00000000" w:rsidR="00000000" w:rsidRPr="00000000">
        <w:rPr>
          <w:color w:val="222222"/>
          <w:highlight w:val="white"/>
          <w:rtl w:val="0"/>
        </w:rPr>
        <w:t xml:space="preserve">146* Comité de Modernización Antimonopolio, supra nota 122, en 322-25; Elzinga &amp; Hogarty, supra nota 124, en 432-33 (que proporciona estimaciones de los costos administrativos de la aplicación de RobinsonPatman).</w:t>
      </w:r>
    </w:p>
    <w:p w:rsidR="00000000" w:rsidDel="00000000" w:rsidP="00000000" w:rsidRDefault="00000000" w:rsidRPr="00000000" w14:paraId="0000012F">
      <w:pPr>
        <w:spacing w:line="360" w:lineRule="auto"/>
        <w:jc w:val="both"/>
        <w:rPr>
          <w:color w:val="222222"/>
          <w:highlight w:val="white"/>
        </w:rPr>
      </w:pPr>
      <w:r w:rsidDel="00000000" w:rsidR="00000000" w:rsidRPr="00000000">
        <w:rPr>
          <w:color w:val="222222"/>
          <w:highlight w:val="white"/>
          <w:rtl w:val="0"/>
        </w:rPr>
        <w:t xml:space="preserve">147* Véase Utah Pie Co. contra Cont'l Baking Co., 386 US 685, 689 (1967).</w:t>
      </w:r>
    </w:p>
    <w:p w:rsidR="00000000" w:rsidDel="00000000" w:rsidP="00000000" w:rsidRDefault="00000000" w:rsidRPr="00000000" w14:paraId="00000130">
      <w:pPr>
        <w:spacing w:line="360" w:lineRule="auto"/>
        <w:jc w:val="both"/>
        <w:rPr>
          <w:color w:val="222222"/>
          <w:highlight w:val="white"/>
        </w:rPr>
      </w:pPr>
      <w:r w:rsidDel="00000000" w:rsidR="00000000" w:rsidRPr="00000000">
        <w:rPr>
          <w:color w:val="222222"/>
          <w:highlight w:val="white"/>
          <w:rtl w:val="0"/>
        </w:rPr>
        <w:t xml:space="preserve">148* Ver ídem. en 690</w:t>
      </w:r>
    </w:p>
    <w:p w:rsidR="00000000" w:rsidDel="00000000" w:rsidP="00000000" w:rsidRDefault="00000000" w:rsidRPr="00000000" w14:paraId="00000131">
      <w:pPr>
        <w:spacing w:line="360" w:lineRule="auto"/>
        <w:jc w:val="both"/>
        <w:rPr>
          <w:color w:val="222222"/>
          <w:highlight w:val="white"/>
        </w:rPr>
      </w:pPr>
      <w:r w:rsidDel="00000000" w:rsidR="00000000" w:rsidRPr="00000000">
        <w:rPr>
          <w:color w:val="222222"/>
          <w:highlight w:val="white"/>
          <w:rtl w:val="0"/>
        </w:rPr>
        <w:t xml:space="preserve">149* Ver ídem.</w:t>
      </w:r>
    </w:p>
    <w:p w:rsidR="00000000" w:rsidDel="00000000" w:rsidP="00000000" w:rsidRDefault="00000000" w:rsidRPr="00000000" w14:paraId="00000132">
      <w:pPr>
        <w:spacing w:line="360" w:lineRule="auto"/>
        <w:jc w:val="both"/>
        <w:rPr>
          <w:color w:val="222222"/>
          <w:highlight w:val="white"/>
        </w:rPr>
      </w:pPr>
      <w:r w:rsidDel="00000000" w:rsidR="00000000" w:rsidRPr="00000000">
        <w:rPr>
          <w:color w:val="222222"/>
          <w:highlight w:val="white"/>
          <w:rtl w:val="0"/>
        </w:rPr>
        <w:t xml:space="preserve">150* Ver id. general.</w:t>
      </w:r>
    </w:p>
    <w:p w:rsidR="00000000" w:rsidDel="00000000" w:rsidP="00000000" w:rsidRDefault="00000000" w:rsidRPr="00000000" w14:paraId="00000133">
      <w:pPr>
        <w:spacing w:line="360" w:lineRule="auto"/>
        <w:jc w:val="both"/>
        <w:rPr>
          <w:color w:val="222222"/>
          <w:highlight w:val="white"/>
        </w:rPr>
      </w:pPr>
      <w:r w:rsidDel="00000000" w:rsidR="00000000" w:rsidRPr="00000000">
        <w:rPr>
          <w:color w:val="222222"/>
          <w:highlight w:val="white"/>
          <w:rtl w:val="0"/>
        </w:rPr>
        <w:t xml:space="preserve">151* D. Daniel Sokol, ¿Revigorizando el antimonopolio criminal?, 60 WM. &amp; M ary L. Rev. 1545 (2019)</w:t>
      </w:r>
    </w:p>
    <w:p w:rsidR="00000000" w:rsidDel="00000000" w:rsidP="00000000" w:rsidRDefault="00000000" w:rsidRPr="00000000" w14:paraId="00000134">
      <w:pPr>
        <w:spacing w:line="360" w:lineRule="auto"/>
        <w:jc w:val="both"/>
        <w:rPr>
          <w:color w:val="222222"/>
          <w:highlight w:val="white"/>
        </w:rPr>
      </w:pPr>
      <w:r w:rsidDel="00000000" w:rsidR="00000000" w:rsidRPr="00000000">
        <w:rPr>
          <w:color w:val="222222"/>
          <w:highlight w:val="white"/>
          <w:rtl w:val="0"/>
        </w:rPr>
        <w:t xml:space="preserve">152* Gary S. Becker, Competencia y Democracia, 1 JL &amp; Ecoñ. 105 (1958).</w:t>
      </w:r>
    </w:p>
    <w:p w:rsidR="00000000" w:rsidDel="00000000" w:rsidP="00000000" w:rsidRDefault="00000000" w:rsidRPr="00000000" w14:paraId="00000135">
      <w:pPr>
        <w:spacing w:line="360" w:lineRule="auto"/>
        <w:jc w:val="both"/>
        <w:rPr>
          <w:color w:val="222222"/>
          <w:highlight w:val="white"/>
        </w:rPr>
      </w:pPr>
      <w:r w:rsidDel="00000000" w:rsidR="00000000" w:rsidRPr="00000000">
        <w:rPr>
          <w:color w:val="222222"/>
          <w:highlight w:val="white"/>
          <w:rtl w:val="0"/>
        </w:rPr>
        <w:t xml:space="preserve">153* Louis Kaplow, Sobre la elección de estándares de bienestar en el derecho de la competencia, en The Goals of Competition Law 3,5 (Daniel Zimmer ed., 2012).</w:t>
      </w:r>
    </w:p>
    <w:p w:rsidR="00000000" w:rsidDel="00000000" w:rsidP="00000000" w:rsidRDefault="00000000" w:rsidRPr="00000000" w14:paraId="00000136">
      <w:pPr>
        <w:spacing w:line="360" w:lineRule="auto"/>
        <w:jc w:val="both"/>
        <w:rPr>
          <w:color w:val="222222"/>
          <w:highlight w:val="white"/>
        </w:rPr>
      </w:pPr>
      <w:r w:rsidDel="00000000" w:rsidR="00000000" w:rsidRPr="00000000">
        <w:rPr>
          <w:color w:val="222222"/>
          <w:highlight w:val="white"/>
          <w:rtl w:val="0"/>
        </w:rPr>
        <w:t xml:space="preserve">154* Woodrow Hartzog &amp; Daniel J. Solove, El alcance y potencial de la protección de datos de CT, 83 Geó. LAVAR. L.Rev 2230 (2015).</w:t>
      </w:r>
    </w:p>
    <w:p w:rsidR="00000000" w:rsidDel="00000000" w:rsidP="00000000" w:rsidRDefault="00000000" w:rsidRPr="00000000" w14:paraId="00000137">
      <w:pPr>
        <w:spacing w:line="360" w:lineRule="auto"/>
        <w:jc w:val="both"/>
        <w:rPr>
          <w:color w:val="222222"/>
          <w:highlight w:val="white"/>
        </w:rPr>
      </w:pPr>
      <w:r w:rsidDel="00000000" w:rsidR="00000000" w:rsidRPr="00000000">
        <w:rPr>
          <w:color w:val="222222"/>
          <w:highlight w:val="white"/>
          <w:rtl w:val="0"/>
        </w:rPr>
        <w:t xml:space="preserve">155* Véase Credit Suisse sec. (EE.UU.) LLC contra facturación, 551 US 264 (2007); Verizon Commc'ns Inc. contra las Oficinas Legales de Curtis V. Trinko, LLP, 540 US 398 (2004).</w:t>
      </w:r>
    </w:p>
    <w:p w:rsidR="00000000" w:rsidDel="00000000" w:rsidP="00000000" w:rsidRDefault="00000000" w:rsidRPr="00000000" w14:paraId="00000138">
      <w:pPr>
        <w:spacing w:line="360" w:lineRule="auto"/>
        <w:jc w:val="both"/>
        <w:rPr>
          <w:color w:val="222222"/>
          <w:highlight w:val="white"/>
        </w:rPr>
      </w:pPr>
      <w:r w:rsidDel="00000000" w:rsidR="00000000" w:rsidRPr="00000000">
        <w:rPr>
          <w:color w:val="222222"/>
          <w:highlight w:val="white"/>
          <w:rtl w:val="0"/>
        </w:rPr>
        <w:t xml:space="preserve">156* James C. Cooper et al., Teoría y práctica de la defensa de la competencia en la FTC, 72 Antimonopolio LJ 1091 (2005).</w:t>
      </w:r>
    </w:p>
    <w:p w:rsidR="00000000" w:rsidDel="00000000" w:rsidP="00000000" w:rsidRDefault="00000000" w:rsidRPr="00000000" w14:paraId="00000139">
      <w:pPr>
        <w:spacing w:line="360" w:lineRule="auto"/>
        <w:jc w:val="both"/>
        <w:rPr>
          <w:color w:val="222222"/>
          <w:highlight w:val="white"/>
        </w:rPr>
      </w:pPr>
      <w:r w:rsidDel="00000000" w:rsidR="00000000" w:rsidRPr="00000000">
        <w:rPr>
          <w:color w:val="222222"/>
          <w:highlight w:val="white"/>
          <w:rtl w:val="0"/>
        </w:rPr>
        <w:t xml:space="preserve">157* Véase, por ejemplo, Michal S. Gal &amp; Spencer Weber Waller, Antimonopolio en industrias de alta tecnología: Introducción al simposio, 8 J. CóMPETITION L. &amp; Ecoñ. 449 (2012) (que proporciona una descripción general).</w:t>
      </w:r>
    </w:p>
    <w:p w:rsidR="00000000" w:rsidDel="00000000" w:rsidP="00000000" w:rsidRDefault="00000000" w:rsidRPr="00000000" w14:paraId="0000013A">
      <w:pPr>
        <w:spacing w:line="360" w:lineRule="auto"/>
        <w:jc w:val="both"/>
        <w:rPr>
          <w:color w:val="222222"/>
          <w:highlight w:val="white"/>
        </w:rPr>
      </w:pPr>
      <w:r w:rsidDel="00000000" w:rsidR="00000000" w:rsidRPr="00000000">
        <w:rPr>
          <w:color w:val="222222"/>
          <w:highlight w:val="white"/>
          <w:rtl w:val="0"/>
        </w:rPr>
        <w:t xml:space="preserve">158* Herbert Hovenkamp, Antimonopolio y tecnologías de la información, 68 Fla. L. Rev. 419 (2016).</w:t>
      </w:r>
    </w:p>
    <w:p w:rsidR="00000000" w:rsidDel="00000000" w:rsidP="00000000" w:rsidRDefault="00000000" w:rsidRPr="00000000" w14:paraId="0000013B">
      <w:pPr>
        <w:spacing w:line="360" w:lineRule="auto"/>
        <w:jc w:val="both"/>
        <w:rPr>
          <w:color w:val="222222"/>
          <w:highlight w:val="white"/>
        </w:rPr>
      </w:pPr>
      <w:r w:rsidDel="00000000" w:rsidR="00000000" w:rsidRPr="00000000">
        <w:rPr>
          <w:color w:val="222222"/>
          <w:highlight w:val="white"/>
          <w:rtl w:val="0"/>
        </w:rPr>
        <w:t xml:space="preserve">159* Deborah A. Garza, Fiscal General Adjunta, División Antimonopolio, Departamento de Justicia de EE. UU., Comentarios sobre la modernización de la ley antimonopolio: aplicación y abusos privados y públicos: Europa y EE. UU. (29 de mayo de 2008), https://www.justice.gov/atr/file/519641/download [https://perma.cc/NU5G-NTVN] (“Incluso los críticos más apasionados de la actual política de cumplimiento reconocen la influencia restrictiva de las políticas existentes). jurisprudencia y, lo que es más importante, el grado sustancial de consenso que existe hoy en día en torno a la mayoría de los aspectos de la política antimonopolio: un consenso forjado sobre una base sólida de aprendizaje económico... No volveremos a cómo era la aplicación de las leyes antimonopolio hace 40 años. ”).</w:t>
      </w:r>
    </w:p>
    <w:p w:rsidR="00000000" w:rsidDel="00000000" w:rsidP="00000000" w:rsidRDefault="00000000" w:rsidRPr="00000000" w14:paraId="0000013C">
      <w:pPr>
        <w:spacing w:line="360" w:lineRule="auto"/>
        <w:jc w:val="both"/>
        <w:rPr>
          <w:color w:val="222222"/>
          <w:highlight w:val="white"/>
        </w:rPr>
      </w:pPr>
      <w:r w:rsidDel="00000000" w:rsidR="00000000" w:rsidRPr="00000000">
        <w:rPr>
          <w:rtl w:val="0"/>
        </w:rPr>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
      </w:rPr>
    </w:rPrDefault>
    <w:pPrDefault>
      <w:pPr>
        <w:spacing w:after="160" w:line="259"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120" w:before="480" w:lineRule="auto"/>
    </w:pPr>
    <w:rPr>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pPr>
      <w:keepNext w:val="1"/>
      <w:keepLines w:val="1"/>
      <w:spacing w:after="120" w:before="480"/>
      <w:outlineLvl w:val="0"/>
    </w:pPr>
    <w:rPr>
      <w:b w:val="1"/>
      <w:sz w:val="48"/>
      <w:szCs w:val="48"/>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table" w:styleId="TableNormal1" w:customStyle="1">
    <w:name w:val="Table Normal"/>
    <w:tblPr>
      <w:tblCellMar>
        <w:top w:w="0.0" w:type="dxa"/>
        <w:left w:w="0.0" w:type="dxa"/>
        <w:bottom w:w="0.0" w:type="dxa"/>
        <w:right w:w="0.0" w:type="dxa"/>
      </w:tblCellMar>
    </w:tblPr>
  </w:style>
  <w:style w:type="table" w:styleId="TableNormal2" w:customStyle="1">
    <w:name w:val="Table Normal"/>
    <w:tblPr>
      <w:tblCellMar>
        <w:top w:w="0.0" w:type="dxa"/>
        <w:left w:w="0.0" w:type="dxa"/>
        <w:bottom w:w="0.0" w:type="dxa"/>
        <w:right w:w="0.0" w:type="dxa"/>
      </w:tblCellMar>
    </w:tblPr>
  </w:style>
  <w:style w:type="table" w:styleId="TableNormal3" w:customStyle="1">
    <w:name w:val="Table Normal"/>
    <w:tblPr>
      <w:tblCellMar>
        <w:top w:w="0.0" w:type="dxa"/>
        <w:left w:w="0.0" w:type="dxa"/>
        <w:bottom w:w="0.0" w:type="dxa"/>
        <w:right w:w="0.0" w:type="dxa"/>
      </w:tblCellMar>
    </w:tblPr>
  </w:style>
  <w:style w:type="table" w:styleId="TableNormal4" w:customStyle="1">
    <w:name w:val="Table Normal"/>
    <w:tblPr>
      <w:tblCellMar>
        <w:top w:w="0.0" w:type="dxa"/>
        <w:left w:w="0.0" w:type="dxa"/>
        <w:bottom w:w="0.0" w:type="dxa"/>
        <w:right w:w="0.0" w:type="dxa"/>
      </w:tblCellMar>
    </w:tblPr>
  </w:style>
  <w:style w:type="table" w:styleId="TableNormal5" w:customStyle="1">
    <w:name w:val="Table Normal"/>
    <w:tblPr>
      <w:tblCellMar>
        <w:top w:w="0.0" w:type="dxa"/>
        <w:left w:w="0.0" w:type="dxa"/>
        <w:bottom w:w="0.0" w:type="dxa"/>
        <w:right w:w="0.0" w:type="dxa"/>
      </w:tblCellMar>
    </w:tblPr>
  </w:style>
  <w:style w:type="table" w:styleId="TableNormal6" w:customStyle="1">
    <w:name w:val="Table Normal"/>
    <w:tblPr>
      <w:tblCellMar>
        <w:top w:w="0.0" w:type="dxa"/>
        <w:left w:w="0.0" w:type="dxa"/>
        <w:bottom w:w="0.0" w:type="dxa"/>
        <w:right w:w="0.0" w:type="dxa"/>
      </w:tblCellMar>
    </w:tblPr>
  </w:style>
  <w:style w:type="table" w:styleId="TableNormal7" w:customStyle="1">
    <w:name w:val="Table Normal"/>
    <w:tblPr>
      <w:tblCellMar>
        <w:top w:w="0.0" w:type="dxa"/>
        <w:left w:w="0.0" w:type="dxa"/>
        <w:bottom w:w="0.0" w:type="dxa"/>
        <w:right w:w="0.0" w:type="dxa"/>
      </w:tblCellMar>
    </w:tblPr>
  </w:style>
  <w:style w:type="table" w:styleId="TableNormal8" w:customStyle="1">
    <w:name w:val="Table Normal"/>
    <w:tblPr>
      <w:tblCellMar>
        <w:top w:w="0.0" w:type="dxa"/>
        <w:left w:w="0.0" w:type="dxa"/>
        <w:bottom w:w="0.0" w:type="dxa"/>
        <w:right w:w="0.0" w:type="dxa"/>
      </w:tblCellMar>
    </w:tblPr>
  </w:style>
  <w:style w:type="table" w:styleId="TableNormal9" w:customStyle="1">
    <w:name w:val="Table Normal"/>
    <w:tblPr>
      <w:tblCellMar>
        <w:top w:w="0.0" w:type="dxa"/>
        <w:left w:w="0.0" w:type="dxa"/>
        <w:bottom w:w="0.0" w:type="dxa"/>
        <w:right w:w="0.0" w:type="dxa"/>
      </w:tblCellMar>
    </w:tblPr>
  </w:style>
  <w:style w:type="table" w:styleId="TableNormala" w:customStyle="1">
    <w:name w:val="Table Normal"/>
    <w:tblPr>
      <w:tblCellMar>
        <w:top w:w="0.0" w:type="dxa"/>
        <w:left w:w="0.0" w:type="dxa"/>
        <w:bottom w:w="0.0" w:type="dxa"/>
        <w:right w:w="0.0" w:type="dxa"/>
      </w:tblCellMar>
    </w:tblPr>
  </w:style>
  <w:style w:type="table" w:styleId="TableNormalb" w:customStyle="1">
    <w:name w:val="Table Normal"/>
    <w:tblPr>
      <w:tblCellMar>
        <w:top w:w="0.0" w:type="dxa"/>
        <w:left w:w="0.0" w:type="dxa"/>
        <w:bottom w:w="0.0" w:type="dxa"/>
        <w:right w:w="0.0" w:type="dxa"/>
      </w:tblCellMar>
    </w:tblPr>
  </w:style>
  <w:style w:type="table" w:styleId="TableNormalc" w:customStyle="1">
    <w:name w:val="Table Normal"/>
    <w:tblPr>
      <w:tblCellMar>
        <w:top w:w="0.0" w:type="dxa"/>
        <w:left w:w="0.0" w:type="dxa"/>
        <w:bottom w:w="0.0" w:type="dxa"/>
        <w:right w:w="0.0" w:type="dxa"/>
      </w:tblCellMar>
    </w:tblPr>
  </w:style>
  <w:style w:type="table" w:styleId="TableNormald" w:customStyle="1">
    <w:name w:val="Table Normal"/>
    <w:tblPr>
      <w:tblCellMar>
        <w:top w:w="0.0" w:type="dxa"/>
        <w:left w:w="0.0" w:type="dxa"/>
        <w:bottom w:w="0.0" w:type="dxa"/>
        <w:right w:w="0.0" w:type="dxa"/>
      </w:tblCellMar>
    </w:tblPr>
  </w:style>
  <w:style w:type="table" w:styleId="TableNormale" w:customStyle="1">
    <w:name w:val="Table Normal"/>
    <w:tblPr>
      <w:tblCellMar>
        <w:top w:w="0.0" w:type="dxa"/>
        <w:left w:w="0.0" w:type="dxa"/>
        <w:bottom w:w="0.0" w:type="dxa"/>
        <w:right w:w="0.0" w:type="dxa"/>
      </w:tblCellMar>
    </w:tblPr>
  </w:style>
  <w:style w:type="table" w:styleId="TableNormalf" w:customStyle="1">
    <w:name w:val="Table Normal"/>
    <w:tblPr>
      <w:tblCellMar>
        <w:top w:w="0.0" w:type="dxa"/>
        <w:left w:w="0.0" w:type="dxa"/>
        <w:bottom w:w="0.0" w:type="dxa"/>
        <w:right w:w="0.0" w:type="dxa"/>
      </w:tblCellMar>
    </w:tblPr>
  </w:style>
  <w:style w:type="table" w:styleId="TableNormalf0" w:customStyle="1">
    <w:name w:val="Table Normal"/>
    <w:tblPr>
      <w:tblCellMar>
        <w:top w:w="0.0" w:type="dxa"/>
        <w:left w:w="0.0" w:type="dxa"/>
        <w:bottom w:w="0.0" w:type="dxa"/>
        <w:right w:w="0.0" w:type="dxa"/>
      </w:tblCellMar>
    </w:tblPr>
  </w:style>
  <w:style w:type="table" w:styleId="TableNormalf1" w:customStyle="1">
    <w:name w:val="Table Normal"/>
    <w:tblPr>
      <w:tblCellMar>
        <w:top w:w="0.0" w:type="dxa"/>
        <w:left w:w="0.0" w:type="dxa"/>
        <w:bottom w:w="0.0" w:type="dxa"/>
        <w:right w:w="0.0" w:type="dxa"/>
      </w:tblCellMar>
    </w:tblPr>
  </w:style>
  <w:style w:type="table" w:styleId="TableNormalf2" w:customStyle="1">
    <w:name w:val="Table Normal"/>
    <w:tblPr>
      <w:tblCellMar>
        <w:top w:w="0.0" w:type="dxa"/>
        <w:left w:w="0.0" w:type="dxa"/>
        <w:bottom w:w="0.0" w:type="dxa"/>
        <w:right w:w="0.0" w:type="dxa"/>
      </w:tblCellMar>
    </w:tblPr>
  </w:style>
  <w:style w:type="paragraph" w:styleId="Encabezado">
    <w:name w:val="header"/>
    <w:basedOn w:val="Normal"/>
    <w:link w:val="EncabezadoCar"/>
    <w:uiPriority w:val="99"/>
    <w:unhideWhenUsed w:val="1"/>
    <w:rsid w:val="000B3656"/>
    <w:pPr>
      <w:tabs>
        <w:tab w:val="center" w:pos="4252"/>
        <w:tab w:val="right" w:pos="8504"/>
      </w:tabs>
      <w:spacing w:after="0" w:line="240" w:lineRule="auto"/>
    </w:pPr>
  </w:style>
  <w:style w:type="character" w:styleId="EncabezadoCar" w:customStyle="1">
    <w:name w:val="Encabezado Car"/>
    <w:basedOn w:val="Fuentedeprrafopredeter"/>
    <w:link w:val="Encabezado"/>
    <w:uiPriority w:val="99"/>
    <w:rsid w:val="000B3656"/>
  </w:style>
  <w:style w:type="paragraph" w:styleId="Piedepgina">
    <w:name w:val="footer"/>
    <w:basedOn w:val="Normal"/>
    <w:link w:val="PiedepginaCar"/>
    <w:uiPriority w:val="99"/>
    <w:unhideWhenUsed w:val="1"/>
    <w:rsid w:val="000B3656"/>
    <w:pPr>
      <w:tabs>
        <w:tab w:val="center" w:pos="4252"/>
        <w:tab w:val="right" w:pos="8504"/>
      </w:tabs>
      <w:spacing w:after="0" w:line="240" w:lineRule="auto"/>
    </w:pPr>
  </w:style>
  <w:style w:type="character" w:styleId="PiedepginaCar" w:customStyle="1">
    <w:name w:val="Pie de página Car"/>
    <w:basedOn w:val="Fuentedeprrafopredeter"/>
    <w:link w:val="Piedepgina"/>
    <w:uiPriority w:val="99"/>
    <w:rsid w:val="000B3656"/>
  </w:style>
  <w:style w:type="paragraph" w:styleId="NormalWeb">
    <w:name w:val="Normal (Web)"/>
    <w:basedOn w:val="Normal"/>
    <w:uiPriority w:val="99"/>
    <w:semiHidden w:val="1"/>
    <w:unhideWhenUsed w:val="1"/>
    <w:rsid w:val="00443894"/>
    <w:pPr>
      <w:spacing w:after="100" w:afterAutospacing="1" w:before="100" w:beforeAutospacing="1" w:line="240" w:lineRule="auto"/>
    </w:pPr>
    <w:rPr>
      <w:rFonts w:ascii="Times New Roman" w:cs="Times New Roman" w:eastAsia="Times New Roman" w:hAnsi="Times New Roman"/>
      <w:sz w:val="24"/>
      <w:szCs w:val="24"/>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f2"/>
    <w:tblPr>
      <w:tblStyleRowBandSize w:val="1"/>
      <w:tblStyleColBandSize w:val="1"/>
      <w:tblCellMar>
        <w:top w:w="15.0" w:type="dxa"/>
        <w:left w:w="15.0" w:type="dxa"/>
        <w:bottom w:w="15.0" w:type="dxa"/>
        <w:right w:w="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0HYYgEEkPWmRRz86qYZwLzVDkHQ==">CgMxLjAyDmgudzI1M2ljc3IzZjd1OAByITFQMjBSakU5VDVXOVVxWjdVQ2xHbFNMY200c1pzWXE2WQ==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2024-05-01T20:47:00Z</dcterms:created>
  <dc:creator>Elvis Montero Pedroso</dc:creator>
</cp:coreProperties>
</file>