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rFonts w:ascii="Calibri" w:cs="Calibri" w:eastAsia="Calibri" w:hAnsi="Calibri"/>
          <w:sz w:val="22"/>
          <w:szCs w:val="22"/>
        </w:rPr>
      </w:pPr>
      <w:bookmarkStart w:colFirst="0" w:colLast="0" w:name="_heading=h.gjdgxs" w:id="0"/>
      <w:bookmarkEnd w:id="0"/>
      <w:r w:rsidDel="00000000" w:rsidR="00000000" w:rsidRPr="00000000">
        <w:rPr>
          <w:rFonts w:ascii="Calibri" w:cs="Calibri" w:eastAsia="Calibri" w:hAnsi="Calibri"/>
          <w:sz w:val="22"/>
          <w:szCs w:val="22"/>
          <w:rtl w:val="0"/>
        </w:rPr>
        <w:t xml:space="preserve">Cody, A.(2015). ¿Qué gana la enseñanza de la ética jurídica, en todo caso, al incluir un componente clínico?. The International Journal of Clinical Legal Education, 22(1), 1-36. </w:t>
      </w:r>
    </w:p>
    <w:p w:rsidR="00000000" w:rsidDel="00000000" w:rsidP="00000000" w:rsidRDefault="00000000" w:rsidRPr="00000000" w14:paraId="00000002">
      <w:pP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ff0000"/>
          <w:sz w:val="22"/>
          <w:szCs w:val="22"/>
          <w:rtl w:val="0"/>
        </w:rPr>
        <w:t xml:space="preserve">Inicio página 1 </w:t>
      </w:r>
      <w:r w:rsidDel="00000000" w:rsidR="00000000" w:rsidRPr="00000000">
        <w:rPr>
          <w:rtl w:val="0"/>
        </w:rPr>
      </w:r>
    </w:p>
    <w:p w:rsidR="00000000" w:rsidDel="00000000" w:rsidP="00000000" w:rsidRDefault="00000000" w:rsidRPr="00000000" w14:paraId="0000000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revisado: Enseñanza y aprendizaje en la clínica</w:t>
      </w:r>
    </w:p>
    <w:p w:rsidR="00000000" w:rsidDel="00000000" w:rsidP="00000000" w:rsidRDefault="00000000" w:rsidRPr="00000000" w14:paraId="0000000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Universidad de Nueva Gales del Sur, Australia acody@unsw.edu.au</w:t>
      </w:r>
    </w:p>
    <w:p w:rsidR="00000000" w:rsidDel="00000000" w:rsidP="00000000" w:rsidRDefault="00000000" w:rsidRPr="00000000" w14:paraId="0000000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algunas facultades de derecho, la ética jurídica se ha enseñado de manera muy conservadora, centrándose en el derecho de la abogacía con un fuerte énfasis en las "reglas profesionales" y en cómo garantizar que los abogados y abogados se comporten dentro de las reglas profesionales*2.  Otros sin embargo, han propuesto diferentes modelos para pensar sobre la abogacía, los deberes éticos de los abogados y el papel de los abogados dentro del sistema legal. En este artículo se exploran la ética jurídica, la toma de decisiones éticas y los valores. Pregunto qué valor se puede obtener al incluir un componente clínico dentro de un curso estándar de ética jurídica, incluso cuando se trata de una experiencia de exposición corta. Exploro la variedad de significados atribuidos a la ética y la responsabilidad profesional, y la conexión entre las identidades personal y profesional. Finalmente, utilizando tres elementos vitales dentro de la definición de un</w:t>
      </w:r>
    </w:p>
    <w:p w:rsidR="00000000" w:rsidDel="00000000" w:rsidP="00000000" w:rsidRDefault="00000000" w:rsidRPr="00000000" w14:paraId="00000006">
      <w:pP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ff0000"/>
          <w:sz w:val="22"/>
          <w:szCs w:val="22"/>
          <w:rtl w:val="0"/>
        </w:rPr>
        <w:t xml:space="preserve">Inicio página 2 </w:t>
      </w:r>
      <w:r w:rsidDel="00000000" w:rsidR="00000000" w:rsidRPr="00000000">
        <w:rPr>
          <w:rtl w:val="0"/>
        </w:rPr>
      </w:r>
    </w:p>
    <w:p w:rsidR="00000000" w:rsidDel="00000000" w:rsidP="00000000" w:rsidRDefault="00000000" w:rsidRPr="00000000" w14:paraId="0000000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profesional jurídico ético, evalúo si el componente clínico contribuye a enseñar a los estudiantes cómo ser un profesional jurídico ético. Me baso en las Mejores Prácticas de la educación jurídica clínica australiana*3 para ayudar en este proceso y analizo algunos aprendizajes adicionales que los estudiantes obtienen al ver la práctica jurídica modelada para ellos en un centro jurídico comunitario, ubicado dentro de una facultad de derecho de una universidad. Se exploran algunos de los desafíos de desarrollar un componente clínico eficaz, como la importancia de capacitar a abogados supervisores voluntarios y cómo evaluar el aprendizaje de los estudiantes. Las formas de compartir el aprendizaje individual entre todos los estudiantes también son un desafío adicional.</w:t>
      </w:r>
    </w:p>
    <w:p w:rsidR="00000000" w:rsidDel="00000000" w:rsidP="00000000" w:rsidRDefault="00000000" w:rsidRPr="00000000" w14:paraId="0000000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DEFINICIÓN DEL PROFESIONALISMO JURÍDICO</w:t>
      </w:r>
    </w:p>
    <w:p w:rsidR="00000000" w:rsidDel="00000000" w:rsidP="00000000" w:rsidRDefault="00000000" w:rsidRPr="00000000" w14:paraId="0000000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Inglaterra 4, así como en Australia, con frecuencia faltan objetivos claramente definidos sobre la enseñanza de la ética, ni tampoco hay valores claramente definidos para enseñar. Esto se debe en parte al hecho de que "la ética escrita se encuentra en códigos esencialmente disciplinarios, en lugar de aspiracionales". *5 La enseñanza de la ética con frecuencia se centra</w:t>
      </w:r>
    </w:p>
    <w:p w:rsidR="00000000" w:rsidDel="00000000" w:rsidP="00000000" w:rsidRDefault="00000000" w:rsidRPr="00000000" w14:paraId="0000000A">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3 </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0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sobre normas de responsabilidad profesional*6 o la ley en lugar de una discusión sobre el tipo de abogados que queremos formar en nuestras facultades de derecho y los marcos éticos a utilizar al tomar decisiones.</w:t>
      </w:r>
    </w:p>
    <w:p w:rsidR="00000000" w:rsidDel="00000000" w:rsidP="00000000" w:rsidRDefault="00000000" w:rsidRPr="00000000" w14:paraId="0000000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 frecuencia los estudiantes dicen que quieren ser "profesionales" y, sin embargo, cuando se les pregunta, no pueden describir realmente lo que esto significa. A menudo responden utilizando palabras como "objetivo", "calificado", "experimentado". A veces reconocerán que un profesional tiene una responsabilidad no sólo hacia ellos mismos sino también hacia la comunidad. Con frecuencia se refieren a la importancia del trabajo profesional y al estatus relativamente alto que se le atribuye. Es un desafío para los estudiantes ser específicos en sus definiciones.</w:t>
      </w:r>
    </w:p>
    <w:p w:rsidR="00000000" w:rsidDel="00000000" w:rsidP="00000000" w:rsidRDefault="00000000" w:rsidRPr="00000000" w14:paraId="0000000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Existe una tensión interesante entre lo que significa ser "profesional" y, al mismo tiempo, ser uno mismo en su trabajo. Muchos han explorado la tensión entre ser abogado, portavoz o defensor de otra persona, defender la ley en nombre de alguien y ser profesional. Pero esto puede crear tensiones para aquellos cuyos valores personales pueden chocar con la posición que defienden*7. Webb*8 ha explorado en profundidad el concepto de 'ética' y 'ser' y la importancia de medir quién eres como abogado, así como lo que haces. Como se analiza a continuación, para garantizar un profesional jurídico feliz y que funcione bien, la persona que usted es como abogado también es importante, de acuerdo con lo que hace.</w:t>
      </w:r>
    </w:p>
    <w:p w:rsidR="00000000" w:rsidDel="00000000" w:rsidP="00000000" w:rsidRDefault="00000000" w:rsidRPr="00000000" w14:paraId="0000000E">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4</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0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identidad profesional destaca la responsabilidad social o la ética, pero también incluye la creación de profesionales jurídicos competentes*9 que sean responsables ante el cliente individual y ante la comunidad.*10 Cada una de las profesiones reconoce que, además de la relación individual con un cliente o paciente, un profesional también tiene la responsabilidad ante la comunidad de contribuir a ella de alguna forma, de proporcionar un servicio. La Fundación Carnegie para el Avance de la Enseñanza ha revisado la educación de varios grupos de profesionales y analiza la "formación profesional hacia un núcleo moral de servicio y responsabilidad hacia los demás"*11.</w:t>
      </w:r>
    </w:p>
    <w:p w:rsidR="00000000" w:rsidDel="00000000" w:rsidP="00000000" w:rsidRDefault="00000000" w:rsidRPr="00000000" w14:paraId="0000001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 han realizado varios intentos para intentar definir el profesionalismo a la luz de estas tensiones. El Informe MacCrate identificó valores clave que son esenciales para los abogados. Éstas incluyen:</w:t>
      </w:r>
    </w:p>
    <w:p w:rsidR="00000000" w:rsidDel="00000000" w:rsidP="00000000" w:rsidRDefault="00000000" w:rsidRPr="00000000" w14:paraId="0000001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w:t>
        <w:tab/>
        <w:t xml:space="preserve">Prestación de representación competente;</w:t>
      </w:r>
    </w:p>
    <w:p w:rsidR="00000000" w:rsidDel="00000000" w:rsidP="00000000" w:rsidRDefault="00000000" w:rsidRPr="00000000" w14:paraId="0000001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 </w:t>
        <w:tab/>
        <w:t xml:space="preserve">Esforzarse por promover la justicia, la equidad y la moralidad;</w:t>
      </w:r>
    </w:p>
    <w:p w:rsidR="00000000" w:rsidDel="00000000" w:rsidP="00000000" w:rsidRDefault="00000000" w:rsidRPr="00000000" w14:paraId="0000001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 </w:t>
        <w:tab/>
        <w:t xml:space="preserve">Esforzarse por mejorar la profesión;</w:t>
      </w:r>
    </w:p>
    <w:p w:rsidR="00000000" w:rsidDel="00000000" w:rsidP="00000000" w:rsidRDefault="00000000" w:rsidRPr="00000000" w14:paraId="0000001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 </w:t>
        <w:tab/>
        <w:t xml:space="preserve">Autodesarrollo profesional.*12</w:t>
      </w:r>
    </w:p>
    <w:p w:rsidR="00000000" w:rsidDel="00000000" w:rsidP="00000000" w:rsidRDefault="00000000" w:rsidRPr="00000000" w14:paraId="00000015">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5</w:t>
      </w:r>
      <w:r w:rsidDel="00000000" w:rsidR="00000000" w:rsidRPr="00000000">
        <w:rPr>
          <w:rtl w:val="0"/>
        </w:rPr>
      </w:r>
    </w:p>
    <w:p w:rsidR="00000000" w:rsidDel="00000000" w:rsidP="00000000" w:rsidRDefault="00000000" w:rsidRPr="00000000" w14:paraId="0000001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Noone y Dickson han definido sus requisitos para un profesionalmente responsable abogado como alguien que:</w:t>
      </w:r>
    </w:p>
    <w:p w:rsidR="00000000" w:rsidDel="00000000" w:rsidP="00000000" w:rsidRDefault="00000000" w:rsidRPr="00000000" w14:paraId="0000001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 ) cumple los deberes inherentes a una relación fiduciaria;</w:t>
      </w:r>
    </w:p>
    <w:p w:rsidR="00000000" w:rsidDel="00000000" w:rsidP="00000000" w:rsidRDefault="00000000" w:rsidRPr="00000000" w14:paraId="0000001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 ) es competente en el trabajo que desempeña;</w:t>
      </w:r>
    </w:p>
    <w:p w:rsidR="00000000" w:rsidDel="00000000" w:rsidP="00000000" w:rsidRDefault="00000000" w:rsidRPr="00000000" w14:paraId="0000001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 ) se comunica frecuente, abierta y claramente con su cliente;</w:t>
      </w:r>
    </w:p>
    <w:p w:rsidR="00000000" w:rsidDel="00000000" w:rsidP="00000000" w:rsidRDefault="00000000" w:rsidRPr="00000000" w14:paraId="0000001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 ) no fomenta el uso de la ley para provocar injusticia, opresión o discriminación;</w:t>
      </w:r>
    </w:p>
    <w:p w:rsidR="00000000" w:rsidDel="00000000" w:rsidP="00000000" w:rsidRDefault="00000000" w:rsidRPr="00000000" w14:paraId="0000001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 ) identifica, plantea y discute cuestiones éticas con clientes actuales/potenciales;</w:t>
      </w:r>
    </w:p>
    <w:p w:rsidR="00000000" w:rsidDel="00000000" w:rsidP="00000000" w:rsidRDefault="00000000" w:rsidRPr="00000000" w14:paraId="0000001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 ) busca mejorar la administración de justicia y participa activamente en servir</w:t>
      </w:r>
    </w:p>
    <w:p w:rsidR="00000000" w:rsidDel="00000000" w:rsidP="00000000" w:rsidRDefault="00000000" w:rsidRPr="00000000" w14:paraId="0000001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comunidad*13.</w:t>
      </w:r>
    </w:p>
    <w:p w:rsidR="00000000" w:rsidDel="00000000" w:rsidP="00000000" w:rsidRDefault="00000000" w:rsidRPr="00000000" w14:paraId="0000001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Hyams se basa en la definición de Noone y Dickson, añadiendo específicamente a sus seis puntos, con tres puntos adicionales propios. Estos son:</w:t>
      </w:r>
    </w:p>
    <w:p w:rsidR="00000000" w:rsidDel="00000000" w:rsidP="00000000" w:rsidRDefault="00000000" w:rsidRPr="00000000" w14:paraId="0000001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 </w:t>
        <w:tab/>
        <w:t xml:space="preserve">) el abogado debe poder trabajar de forma autónoma, de forma independiente,</w:t>
      </w:r>
    </w:p>
    <w:p w:rsidR="00000000" w:rsidDel="00000000" w:rsidP="00000000" w:rsidRDefault="00000000" w:rsidRPr="00000000" w14:paraId="0000002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moda autosuficiente y autodirigida;</w:t>
      </w:r>
    </w:p>
    <w:p w:rsidR="00000000" w:rsidDel="00000000" w:rsidP="00000000" w:rsidRDefault="00000000" w:rsidRPr="00000000" w14:paraId="0000002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 </w:t>
        <w:tab/>
        <w:t xml:space="preserve">) el abogado debe poder ejercer su juicio, no sólo en relación con cómo</w:t>
      </w:r>
    </w:p>
    <w:p w:rsidR="00000000" w:rsidDel="00000000" w:rsidP="00000000" w:rsidRDefault="00000000" w:rsidRPr="00000000" w14:paraId="0000002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resolver los problemas de un cliente, pero juicio reflexivo de sus propios comportamientos y acciones;</w:t>
      </w:r>
    </w:p>
    <w:p w:rsidR="00000000" w:rsidDel="00000000" w:rsidP="00000000" w:rsidRDefault="00000000" w:rsidRPr="00000000" w14:paraId="0000002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 </w:t>
        <w:tab/>
        <w:t xml:space="preserve">) debe tener un compromiso continuo con la educación permanente, a lo largo y ancho de la vida.</w:t>
      </w:r>
    </w:p>
    <w:p w:rsidR="00000000" w:rsidDel="00000000" w:rsidP="00000000" w:rsidRDefault="00000000" w:rsidRPr="00000000" w14:paraId="0000002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encima de lo requerido por los puntos de desarrollo profesional continuo.</w:t>
      </w:r>
    </w:p>
    <w:p w:rsidR="00000000" w:rsidDel="00000000" w:rsidP="00000000" w:rsidRDefault="00000000" w:rsidRPr="00000000" w14:paraId="0000002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Hyams describe este último punto como que requiere dos cosas: primero, comprender que la buena abogacía y el profesionalismo requieren un proceso continuo de comprensión de las limitaciones personales y el compromiso de permanecer frescos, innovadores y conocedores del trabajo profesional. En segundo lugar, se necesitan herramientas para poner esto en práctica.</w:t>
      </w:r>
    </w:p>
    <w:p w:rsidR="00000000" w:rsidDel="00000000" w:rsidP="00000000" w:rsidRDefault="00000000" w:rsidRPr="00000000" w14:paraId="00000026">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6</w:t>
      </w:r>
      <w:r w:rsidDel="00000000" w:rsidR="00000000" w:rsidRPr="00000000">
        <w:rPr>
          <w:rtl w:val="0"/>
        </w:rPr>
      </w:r>
    </w:p>
    <w:p w:rsidR="00000000" w:rsidDel="00000000" w:rsidP="00000000" w:rsidRDefault="00000000" w:rsidRPr="00000000" w14:paraId="0000002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comprensión y el compromiso en acción*14. Hyams se refiere a la comprensión</w:t>
      </w:r>
    </w:p>
    <w:p w:rsidR="00000000" w:rsidDel="00000000" w:rsidP="00000000" w:rsidRDefault="00000000" w:rsidRPr="00000000" w14:paraId="0000002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que todos los profesionales tienen la obligación de contribuir a la comunidad de alguna manera</w:t>
      </w:r>
    </w:p>
    <w:p w:rsidR="00000000" w:rsidDel="00000000" w:rsidP="00000000" w:rsidRDefault="00000000" w:rsidRPr="00000000" w14:paraId="0000002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formulario*15.</w:t>
      </w:r>
    </w:p>
    <w:p w:rsidR="00000000" w:rsidDel="00000000" w:rsidP="00000000" w:rsidRDefault="00000000" w:rsidRPr="00000000" w14:paraId="0000002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Cada una de estas definiciones incluye el aspecto clave:</w:t>
      </w:r>
    </w:p>
    <w:p w:rsidR="00000000" w:rsidDel="00000000" w:rsidP="00000000" w:rsidRDefault="00000000" w:rsidRPr="00000000" w14:paraId="0000002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tab/>
        <w:t xml:space="preserve">trabajar o contribuir a la justicia, la equidad y la mejora del sistema legal y servir a la comunidad, como parte del rol de un abogado.</w:t>
      </w:r>
    </w:p>
    <w:p w:rsidR="00000000" w:rsidDel="00000000" w:rsidP="00000000" w:rsidRDefault="00000000" w:rsidRPr="00000000" w14:paraId="0000002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otros dos aspectos que se utilizan en este artículo como marco de análisis son:</w:t>
      </w:r>
    </w:p>
    <w:p w:rsidR="00000000" w:rsidDel="00000000" w:rsidP="00000000" w:rsidRDefault="00000000" w:rsidRPr="00000000" w14:paraId="0000002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tab/>
        <w:t xml:space="preserve">adquirir un sentido de autonomía y autodirección; y</w:t>
      </w:r>
    </w:p>
    <w:p w:rsidR="00000000" w:rsidDel="00000000" w:rsidP="00000000" w:rsidRDefault="00000000" w:rsidRPr="00000000" w14:paraId="0000002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tab/>
        <w:t xml:space="preserve">reflexión constante y mejora continua.</w:t>
      </w:r>
    </w:p>
    <w:p w:rsidR="00000000" w:rsidDel="00000000" w:rsidP="00000000" w:rsidRDefault="00000000" w:rsidRPr="00000000" w14:paraId="0000002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dos últimos puntos son aspectos claves de un abogado éticamente responsable ya que la capacidad de reflexionar sobre uno mismo, cómo eres y qué haces como abogado, es vital para poder mejorar y ser un abogado competente. La reflexión continua sobre cómo un abogado contribuye al sistema legal y su capacidad para impartir justicia también es necesaria para que cualquier abogado pueda contribuir al sistema de justicia y servir a la comunidad. La autonomía y la autodirección son sólo un elemento en la definición de Hyams y, sin embargo, si se entiende que la autonomía está conectada con la teoría de la motivación y una expresión del yo (que se analiza más adelante), entonces une los valores individuales con el trabajo profesional y, por lo tanto, es un elemento vital de una Abogado responsable. Estos 3 puntos que he identificado</w:t>
      </w:r>
    </w:p>
    <w:p w:rsidR="00000000" w:rsidDel="00000000" w:rsidP="00000000" w:rsidRDefault="00000000" w:rsidRPr="00000000" w14:paraId="00000030">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7</w:t>
      </w:r>
      <w:r w:rsidDel="00000000" w:rsidR="00000000" w:rsidRPr="00000000">
        <w:rPr>
          <w:rtl w:val="0"/>
        </w:rPr>
      </w:r>
    </w:p>
    <w:p w:rsidR="00000000" w:rsidDel="00000000" w:rsidP="00000000" w:rsidRDefault="00000000" w:rsidRPr="00000000" w14:paraId="0000003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también encajan dentro de la práctica de un centro legal comunitario. Se utilizarán para evaluar si un componente clínico, basado en un centro legal comunitario*16, donde los estudiantes entrevistan a clientes desfavorecidos, puede impactar y desarrollar estos 3 aspectos clave de la identidad profesional, incluso cuando se trata de una experiencia de exposición breve. Los 3 elementos están interconectados y contribuyen entre sí.</w:t>
      </w:r>
    </w:p>
    <w:p w:rsidR="00000000" w:rsidDel="00000000" w:rsidP="00000000" w:rsidRDefault="00000000" w:rsidRPr="00000000" w14:paraId="0000003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lo tanto, la elección de tres elementos cualesquiera siempre será discutible. Elijo estos 3 elementos porque son vitales para que un abogado sea un practicante legal ético y porque un componente clínico dentro de un centro legal comunitario tiene el potencial de enseñar estos 3 elementos clave.</w:t>
      </w:r>
    </w:p>
    <w:p w:rsidR="00000000" w:rsidDel="00000000" w:rsidP="00000000" w:rsidRDefault="00000000" w:rsidRPr="00000000" w14:paraId="0000003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VALORES INDIVIDUALES Y PROFESIONALIDAD; TOMA DE DECISIONES ÉTICAS</w:t>
      </w:r>
    </w:p>
    <w:p w:rsidR="00000000" w:rsidDel="00000000" w:rsidP="00000000" w:rsidRDefault="00000000" w:rsidRPr="00000000" w14:paraId="0000003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Además de las dificultades para definir lo que significa profesionalismo en un contexto legal, existe otro problema importante al negociar la conexión entre los valores individuales y el profesionalismo. Existen profundas preocupaciones sobre las formas en que la educación jurídica y la práctica jurídica pueden resultar alienantes para los estudiantes de derecho*17 y</w:t>
      </w:r>
    </w:p>
    <w:p w:rsidR="00000000" w:rsidDel="00000000" w:rsidP="00000000" w:rsidRDefault="00000000" w:rsidRPr="00000000" w14:paraId="00000035">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8</w:t>
      </w:r>
      <w:r w:rsidDel="00000000" w:rsidR="00000000" w:rsidRPr="00000000">
        <w:rPr>
          <w:rtl w:val="0"/>
        </w:rPr>
      </w:r>
    </w:p>
    <w:p w:rsidR="00000000" w:rsidDel="00000000" w:rsidP="00000000" w:rsidRDefault="00000000" w:rsidRPr="00000000" w14:paraId="0000003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abogados. Los estudiantes de las jurisdicciones de derecho consuetudinario aprenden derecho en gran medida a través del método socrático. Esto implica utilizar casos para demostrar el desarrollo del derecho y del principio jurídico. La rica complejidad de los hechos y de las vidas de las personas se extrae en gran medida del método socrático*18 y, por tanto, también se elimina en gran parte la profundidad humana. A los estudiantes se les enseña a argumentar un principio y una doctrina jurídicos, a través de jurisprudencia y estatutos, y si bien en algún momento se pueden buscar sus puntos de vista sobre la doctrina jurídica particular, son secundarios a la capacidad de argumentar el desarrollo de la ley. Esta forma de construir argumentos puede resultar alienante para los estudiantes. Algunos han argumentado que "la educación jurídica y las experiencias tempranas como abogado pueden tender a erosionar la integridad al separar a las personas de sus valores y creencias personales, su conciencia, su veracidad y sus necesidades intrínsecas de atención y cooperación"*19.</w:t>
      </w:r>
    </w:p>
    <w:p w:rsidR="00000000" w:rsidDel="00000000" w:rsidP="00000000" w:rsidRDefault="00000000" w:rsidRPr="00000000" w14:paraId="0000003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Otros enmarcan esto de manera un poco más suave, como la importancia de una "coincidencia de valores" entre los valores propios de un abogado y los valores de su firma.20 O que incluso antes, es importante encontrar una coincidencia de valores dentro de la experiencia de la facultad de derecho antes de entrar en la práctica*21.</w:t>
      </w:r>
    </w:p>
    <w:p w:rsidR="00000000" w:rsidDel="00000000" w:rsidP="00000000" w:rsidRDefault="00000000" w:rsidRPr="00000000" w14:paraId="00000038">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9</w:t>
      </w:r>
      <w:r w:rsidDel="00000000" w:rsidR="00000000" w:rsidRPr="00000000">
        <w:rPr>
          <w:rtl w:val="0"/>
        </w:rPr>
      </w:r>
    </w:p>
    <w:p w:rsidR="00000000" w:rsidDel="00000000" w:rsidP="00000000" w:rsidRDefault="00000000" w:rsidRPr="00000000" w14:paraId="0000003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noción de "valores" tiene obviamente un significado amplio. Algunos se refieren a él como valores individuales, personales y profesionales de una persona, otros se refieren a él como valores puramente profesionales*22. Este debate se conecta con el debate sobre el profesionalismo. Si se considera que el profesionalismo es "objetivo", sin juzgar, entonces los valores personales no deberían formar parte del profesionalismo. Sin embargo, en este artículo, el profesionalismo se define para incluir el reconocimiento de una responsabilidad hacia la comunidad en la práctica del derecho. Esto inevitablemente significa algo más que valores profesionales e incluye el sentido que tiene una persona de quién es y de lo que significa para ella personalmente ser abogado. Esta es una visión expuesta por profesores de derecho y ética que conectan ambos*23. Muchos argumentan que los 2 no se pueden separar ya que un abogado es más que lo que hacen sino también quiénes son*24.</w:t>
      </w:r>
    </w:p>
    <w:p w:rsidR="00000000" w:rsidDel="00000000" w:rsidP="00000000" w:rsidRDefault="00000000" w:rsidRPr="00000000" w14:paraId="0000003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conexión entre uno mismo y el profesionalismo es algo que han explorado los teóricos Christine Parker y Adrian Evans*25. Postulan una teoría de marcos éticos con cuatro marcos clave dentro de los cuales los abogados toman decisiones éticas. Un abogado puede optar por utilizar diferentes marcos en diferentes momentos, o normalmente sentirse más cómodo en un marco que en otro. Rara vez un abogado siempre</w:t>
      </w:r>
    </w:p>
    <w:p w:rsidR="00000000" w:rsidDel="00000000" w:rsidP="00000000" w:rsidRDefault="00000000" w:rsidRPr="00000000" w14:paraId="0000003B">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10</w:t>
      </w:r>
      <w:r w:rsidDel="00000000" w:rsidR="00000000" w:rsidRPr="00000000">
        <w:rPr>
          <w:rtl w:val="0"/>
        </w:rPr>
      </w:r>
    </w:p>
    <w:p w:rsidR="00000000" w:rsidDel="00000000" w:rsidP="00000000" w:rsidRDefault="00000000" w:rsidRPr="00000000" w14:paraId="0000003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operar fuera de un marco. Los 4 marcos son: abogado adversario en el que el papel de un abogado es defender celosamente los intereses del cliente dentro de los límites de la ley. Otro es el del abogado responsable, que es visto predominantemente como un funcionario del tribunal y el abogado es responsable de hacer que la ley y el sistema legal funcionen de la manera más justa posible. Un modelo de ética de activista moral enfatiza la importancia de la posición de los abogados dentro de la sociedad y su papel en la participación en actividades de reforma legal para hacer la ley más justa y también para asesorar a los clientes sobre un curso de acción moral. El cuarto modelo es la ética de la abogacía asistencial. En esto, la consideración clave es la responsabilidad del abogado hacia otras personas, de mantener relaciones y de evitar daños*26.</w:t>
      </w:r>
    </w:p>
    <w:p w:rsidR="00000000" w:rsidDel="00000000" w:rsidP="00000000" w:rsidRDefault="00000000" w:rsidRPr="00000000" w14:paraId="0000003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estudiantes tienen la oportunidad de explorar marcos éticos a través del componente clínico de su curso de ética jurídica.</w:t>
      </w:r>
    </w:p>
    <w:p w:rsidR="00000000" w:rsidDel="00000000" w:rsidP="00000000" w:rsidRDefault="00000000" w:rsidRPr="00000000" w14:paraId="0000003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CÓMO FUNCIONA EL COMPONENTE CLÍNICO</w:t>
      </w:r>
    </w:p>
    <w:p w:rsidR="00000000" w:rsidDel="00000000" w:rsidP="00000000" w:rsidRDefault="00000000" w:rsidRPr="00000000" w14:paraId="0000003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componente clínico funciona como parte de las operaciones normales de un centro jurídico comunitario en funcionamiento. Este Centro, Kingsford Legal Centre*27, atiende a más de 1.800 clientes cada año, brindándoles asesoramiento jurídico gratuito, además de trabajar casos para más de 300 clientes cada año y participar en educación comunitaria, reforma legal y trabajo político. El Centro organiza 3 clínicas nocturnas de asesoramiento cada semana.</w:t>
      </w:r>
    </w:p>
    <w:p w:rsidR="00000000" w:rsidDel="00000000" w:rsidP="00000000" w:rsidRDefault="00000000" w:rsidRPr="00000000" w14:paraId="00000040">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11</w:t>
      </w:r>
      <w:r w:rsidDel="00000000" w:rsidR="00000000" w:rsidRPr="00000000">
        <w:rPr>
          <w:rtl w:val="0"/>
        </w:rPr>
      </w:r>
    </w:p>
    <w:p w:rsidR="00000000" w:rsidDel="00000000" w:rsidP="00000000" w:rsidRDefault="00000000" w:rsidRPr="00000000" w14:paraId="0000004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 10-12 clientes asesorados en cada clínica de asesoramiento. Cada clínica de asesoramiento nocturno está supervisada por un supervisor clínico/abogado con hasta 6 abogados y abogados voluntarios que donan su tiempo voluntariamente (pro bono).</w:t>
      </w:r>
    </w:p>
    <w:p w:rsidR="00000000" w:rsidDel="00000000" w:rsidP="00000000" w:rsidRDefault="00000000" w:rsidRPr="00000000" w14:paraId="0000004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Todos los estudiantes que participan del componente clínico están cursando la carrera Abogados, Ética y Justicia. Algunos son estudiantes universitarios*28 que completan una carrera combinada y, por lo tanto, en su mayoría están en el tercer año de un programa de cinco años. Otros estudiantes son estudiantes de Juris Doctor*29 que están estudiando derecho como título de posgrado y estos estudiantes generalmente están en el primer o segundo semestre de un programa de grado de 3 años. Los estudiantes, antes de venir al Centro, reciben una clase de 2 horas sobre el funcionamiento del Centro y una introducción a las habilidades de entrevista en su horario habitual de clase de Abogados, Ética y Justicia. A su llegada al Centro, antes de la clínica de asesoramiento nocturno asignada, un estudiante clínico optativo (que está estudiando un curso clínico optativo durante todo el semestre en el Centro) y un supervisor clínico les enseñan sobre los procesos internos del Centro y cómo comprobar si hay conflictos. de interés, bríndeles una explicación más detallada sobre el deber de confidencialidad y enséñeles los puntos clave sobre el trabajo con intérpretes. También explican los mecanismos de apoyo disponibles para los estudiantes y les brindan una formación básica en seguridad.</w:t>
      </w:r>
    </w:p>
    <w:p w:rsidR="00000000" w:rsidDel="00000000" w:rsidP="00000000" w:rsidRDefault="00000000" w:rsidRPr="00000000" w14:paraId="0000004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Después de esta inducción de 2 horas, los estudiantes comienzan a recibir instrucciones de los clientes. Después de haber recibido las instrucciones iniciales de su primer cliente, lo dejan esperando, van y discuten el caso con un abogado/supervisor voluntario y el</w:t>
      </w:r>
    </w:p>
    <w:p w:rsidR="00000000" w:rsidDel="00000000" w:rsidP="00000000" w:rsidRDefault="00000000" w:rsidRPr="00000000" w14:paraId="00000044">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12</w:t>
      </w:r>
      <w:r w:rsidDel="00000000" w:rsidR="00000000" w:rsidRPr="00000000">
        <w:rPr>
          <w:rtl w:val="0"/>
        </w:rPr>
      </w:r>
    </w:p>
    <w:p w:rsidR="00000000" w:rsidDel="00000000" w:rsidP="00000000" w:rsidRDefault="00000000" w:rsidRPr="00000000" w14:paraId="0000004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abogado supervisor/supervisor clínico, diseñar el asesoramiento legal en colaboración con</w:t>
      </w:r>
    </w:p>
    <w:p w:rsidR="00000000" w:rsidDel="00000000" w:rsidP="00000000" w:rsidRDefault="00000000" w:rsidRPr="00000000" w14:paraId="0000004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abogado/supervisor voluntario, luego regrese con el abogado/supervisor voluntario. El abogado voluntario brinda consejos mientras el estudiante toma notas de la entrevista y registra los consejos brindados. El estudiante y el abogado voluntario tienen un breve informe después de la entrevista, antes de que el estudiante vea a otro cliente para recibir instrucciones.</w:t>
      </w:r>
    </w:p>
    <w:p w:rsidR="00000000" w:rsidDel="00000000" w:rsidP="00000000" w:rsidRDefault="00000000" w:rsidRPr="00000000" w14:paraId="0000004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Este artículo examina si un componente clínico breve e intenso de un curso de ética sustantiva puede enseñar aspectos clave de la ética. Como se mencionó anteriormente, estos son:</w:t>
      </w:r>
    </w:p>
    <w:p w:rsidR="00000000" w:rsidDel="00000000" w:rsidP="00000000" w:rsidRDefault="00000000" w:rsidRPr="00000000" w14:paraId="0000004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tab/>
        <w:t xml:space="preserve">trabajar o contribuir a la justicia, la equidad y la mejora del sistema legal y servir a la comunidad, como parte del rol de un abogado;</w:t>
      </w:r>
    </w:p>
    <w:p w:rsidR="00000000" w:rsidDel="00000000" w:rsidP="00000000" w:rsidRDefault="00000000" w:rsidRPr="00000000" w14:paraId="0000004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tab/>
        <w:t xml:space="preserve">el desarrollo de la autonomía y la autodirección de los estudiantes/abogados; y</w:t>
      </w:r>
    </w:p>
    <w:p w:rsidR="00000000" w:rsidDel="00000000" w:rsidP="00000000" w:rsidRDefault="00000000" w:rsidRPr="00000000" w14:paraId="0000004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w:t>
        <w:tab/>
        <w:t xml:space="preserve">la necesidad de una reflexión continua sobre su papel y una mejora continua.</w:t>
      </w:r>
    </w:p>
    <w:p w:rsidR="00000000" w:rsidDel="00000000" w:rsidP="00000000" w:rsidRDefault="00000000" w:rsidRPr="00000000" w14:paraId="0000004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 componente de este tipo, aunque sea breve, puede dar a los estudiantes una idea de cómo la ley puede afectar a las personas desfavorecidas. Contribuye a que los estudiantes comprendan CÓMO pueden utilizar sus títulos de derecho para mejorar la justicia y el sistema legal, además de darles una sensación de autonomía. Al proporcionar un componente clínico con clientes reales al principio de la carrera de derecho, los estudiantes están expuestos a un área particular de la práctica jurídica con la que deben alinear sus propios valores. Cada decisión sobre un caso afectará la vida del cliente, ya que las cuestiones legales tienen un profundo impacto en la vida de</w:t>
      </w:r>
    </w:p>
    <w:p w:rsidR="00000000" w:rsidDel="00000000" w:rsidP="00000000" w:rsidRDefault="00000000" w:rsidRPr="00000000" w14:paraId="0000004C">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13</w:t>
      </w:r>
      <w:r w:rsidDel="00000000" w:rsidR="00000000" w:rsidRPr="00000000">
        <w:rPr>
          <w:rtl w:val="0"/>
        </w:rPr>
      </w:r>
    </w:p>
    <w:p w:rsidR="00000000" w:rsidDel="00000000" w:rsidP="00000000" w:rsidRDefault="00000000" w:rsidRPr="00000000" w14:paraId="0000004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clientes desfavorecidos*30. Al trabajar con clientes desfavorecidos, los estudiantes ven las formas</w:t>
      </w:r>
    </w:p>
    <w:p w:rsidR="00000000" w:rsidDel="00000000" w:rsidP="00000000" w:rsidRDefault="00000000" w:rsidRPr="00000000" w14:paraId="0000004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que la ley puede impactar duramente en la vida de las personas y así se aviva su cuestionamiento de la "justicia" y la "ley". Por lo tanto, resulta particularmente relevante el marco para pensar sobre la toma de decisiones éticas y su papel como futuro abogado.</w:t>
      </w:r>
    </w:p>
    <w:p w:rsidR="00000000" w:rsidDel="00000000" w:rsidP="00000000" w:rsidRDefault="00000000" w:rsidRPr="00000000" w14:paraId="0000004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 explorarán los aprendizajes adicionales adquiridos por los estudiantes. Además, se prestará atención a si el componente clínico cumple con las mejores prácticas en la educación jurídica clínica australiana. *31 Este informe fue el primero de su tipo en Australia y documentó cada uno de los programas clínicos implementados durante el período 2009 a 2011*32. Fue guiado por un grupo de referencia internacional de expertos en educación jurídica clínica y un consejo asesor australiano. Documentó la práctica existente en todos los programas clínicos a través de una encuesta y entrevistas con cada programa. A partir de esta investigación empírica, el grupo de investigación desarrolló las Mejores Prácticas en la Educación Legal Clínica Australiana como una guía para quienes revisan programas clínicos y crean otros nuevos, con el fin de desarrollar programas clínicos rigurosos y de alta calidad.</w:t>
      </w:r>
    </w:p>
    <w:p w:rsidR="00000000" w:rsidDel="00000000" w:rsidP="00000000" w:rsidRDefault="00000000" w:rsidRPr="00000000" w14:paraId="00000050">
      <w:pPr>
        <w:spacing w:line="360" w:lineRule="auto"/>
        <w:jc w:val="both"/>
        <w:rPr>
          <w:rFonts w:ascii="Calibri" w:cs="Calibri" w:eastAsia="Calibri" w:hAnsi="Calibri"/>
          <w:color w:val="ff0000"/>
          <w:sz w:val="22"/>
          <w:szCs w:val="22"/>
        </w:rPr>
      </w:pPr>
      <w:r w:rsidDel="00000000" w:rsidR="00000000" w:rsidRPr="00000000">
        <w:rPr>
          <w:rFonts w:ascii="Calibri" w:cs="Calibri" w:eastAsia="Calibri" w:hAnsi="Calibri"/>
          <w:color w:val="ff0000"/>
          <w:sz w:val="22"/>
          <w:szCs w:val="22"/>
          <w:rtl w:val="0"/>
        </w:rPr>
        <w:t xml:space="preserve">Inicio página 14</w:t>
      </w:r>
    </w:p>
    <w:p w:rsidR="00000000" w:rsidDel="00000000" w:rsidP="00000000" w:rsidRDefault="00000000" w:rsidRPr="00000000" w14:paraId="0000005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ENSEÑAR ÉTICA A TRAVÉS DE UN CURSO CLÍNICO: POR QUÉ ES UN</w:t>
      </w:r>
    </w:p>
    <w:p w:rsidR="00000000" w:rsidDel="00000000" w:rsidP="00000000" w:rsidRDefault="00000000" w:rsidRPr="00000000" w14:paraId="0000005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MANERA VALIOSA DE ENSEÑAR ÉTICA</w:t>
      </w:r>
    </w:p>
    <w:p w:rsidR="00000000" w:rsidDel="00000000" w:rsidP="00000000" w:rsidRDefault="00000000" w:rsidRPr="00000000" w14:paraId="0000005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ética se ha enseñado principalmente formalmente en el aula. Sin embargo, siempre que el derecho*33 se enseña a través de materias clínicas, es inevitable que surjan problemas de ética y, por lo tanto, la enseñanza de la ética*34. Además, hay algunas facultades de derecho que han optado por enseñar ética íntegramente a través de una clínica o incorporando componentes clínicos. Por ejemplo, en la Universidad Católica*35 en Washington DC se incorporan elementos de la enseñanza clínica en su curso de Responsabilidad Profesional. En muchos cursos clínicos, aprender sobre las responsabilidades éticas es uno de los objetivos de aprendizaje del curso.*36 También hay cursos clínicos cuyo objetivo específico es enseñar ética jurídica y responsabilidad profesional*37. Una alternativa es incluir un componente clínico en un curso de ética y este enfoque puede ser igualmente eficaz.</w:t>
      </w:r>
    </w:p>
    <w:p w:rsidR="00000000" w:rsidDel="00000000" w:rsidP="00000000" w:rsidRDefault="00000000" w:rsidRPr="00000000" w14:paraId="00000054">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15</w:t>
      </w:r>
      <w:r w:rsidDel="00000000" w:rsidR="00000000" w:rsidRPr="00000000">
        <w:rPr>
          <w:rtl w:val="0"/>
        </w:rPr>
      </w:r>
    </w:p>
    <w:p w:rsidR="00000000" w:rsidDel="00000000" w:rsidP="00000000" w:rsidRDefault="00000000" w:rsidRPr="00000000" w14:paraId="0000005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vez que se encuentran con un cliente, la fe ciega en que existe una 'verdad' o una 'ley' que se puede aplicar debe dar paso a una comprensión más sofisticada. Los casos de los clientes rara vez presentan hechos simples que se presten a respuestas correctas e incorrectas. Es la complejidad y la imprevisibilidad de trabajar con personas reales lo que hace que la educación jurídica clínica sea tan rica."*38 Esta complejidad de los casos de los clientes es un terreno fértil para aprender sobre la toma de decisiones éticas y la ocurrencia generalizada de problemas éticos.</w:t>
      </w:r>
    </w:p>
    <w:p w:rsidR="00000000" w:rsidDel="00000000" w:rsidP="00000000" w:rsidRDefault="00000000" w:rsidRPr="00000000" w14:paraId="0000005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Sin embargo, no se puede dar por sentado que simplemente colocando a los estudiantes en una clínica, aprenderán "ética" y cómo tomar decisiones éticas. Esto no ocurre mediante un proceso de ósmosis. Tiene que ser planificado e incorporado conscientemente*39. La literatura sobre estos enfoques clínicos destaca una serie de cuestiones pedagógicas importantes que son necesarias para lograr resultados de aprendizaje más completos. En lugar de asumir que la experiencia misma enseñará a los estudiantes, la importancia del informe y la reflexión es esencial. Los estudiantes necesitan la oportunidad de hablar entre ellos sobre lo que están aprendiendo y la reflexión es una parte clave del proceso de aprendizaje*40. La fundamentación de enseñar responsabilidad o ética profesional a través de una clínica, permite discusiones como la importancia de la competencia cultural*41. La diversidad de clientes, cliente.</w:t>
      </w:r>
    </w:p>
    <w:p w:rsidR="00000000" w:rsidDel="00000000" w:rsidP="00000000" w:rsidRDefault="00000000" w:rsidRPr="00000000" w14:paraId="00000057">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16</w:t>
      </w:r>
      <w:r w:rsidDel="00000000" w:rsidR="00000000" w:rsidRPr="00000000">
        <w:rPr>
          <w:rtl w:val="0"/>
        </w:rPr>
      </w:r>
    </w:p>
    <w:p w:rsidR="00000000" w:rsidDel="00000000" w:rsidP="00000000" w:rsidRDefault="00000000" w:rsidRPr="00000000" w14:paraId="0000005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experiencia y los problemas legales que enfrentan los clientes brindan un rico aprendizaje para los estudiantes sobre la comunicación intercultural y la importancia de trabajar de manera efectiva con una amplia gama de clientes culturalmente diversos. Por lo tanto, los componentes presenciales de las materias clínicas también deberían incluir formación sobre competencia cultural.</w:t>
      </w:r>
    </w:p>
    <w:p w:rsidR="00000000" w:rsidDel="00000000" w:rsidP="00000000" w:rsidRDefault="00000000" w:rsidRPr="00000000" w14:paraId="0000005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También es muy significativo conceptualizar el papel de un consultorio clínico como modelo a seguir en la práctica jurídica sobre cómo debe comportarse un profesional del derecho y qué significa la toma de decisiones éticas. Existe legítimamente una variedad de puntos de vista sobre lo que es una práctica jurídica ética y los estilos y enfoques de abogacía apropiados. El comportamiento individual de los abogados de la clínica que los estudiantes observan, les brinda a los estudiantes un rico material para criticar, analizar y reflexionar sobre cómo ser abogado. Como señalan Noone et al, "al trabajar con abogados y poder observar de primera mano diferentes estilos de abogacía, los estudiantes comenzarán a desarrollar una comprensión profunda de la práctica ética"*42.</w:t>
      </w:r>
    </w:p>
    <w:p w:rsidR="00000000" w:rsidDel="00000000" w:rsidP="00000000" w:rsidRDefault="00000000" w:rsidRPr="00000000" w14:paraId="0000005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clínicas también pueden resaltar el carácter público del trabajo de los abogados y, por tanto, la responsabilidad pública que también tienen los abogados*43. Cuando el curso de ética de la Universidad Latrobe se ofreció a través del servicio jurídico de la Comunidad de West Heidelberg, incluía un componente que animaba a los estudiantes clínicos a reconocer las limitaciones de la ley y desarrollar soluciones de reforma legal a los problemas que identificaban a través de su trabajo en casos de clientes44. Los estudiantes, al identificar problemas con la ley y</w:t>
      </w:r>
    </w:p>
    <w:p w:rsidR="00000000" w:rsidDel="00000000" w:rsidP="00000000" w:rsidRDefault="00000000" w:rsidRPr="00000000" w14:paraId="0000005B">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17</w:t>
      </w:r>
      <w:r w:rsidDel="00000000" w:rsidR="00000000" w:rsidRPr="00000000">
        <w:rPr>
          <w:rtl w:val="0"/>
        </w:rPr>
      </w:r>
    </w:p>
    <w:p w:rsidR="00000000" w:rsidDel="00000000" w:rsidP="00000000" w:rsidRDefault="00000000" w:rsidRPr="00000000" w14:paraId="0000005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luego, al asumir un papel activo en la búsqueda de soluciones, ya asumíamos el papel de abogado responsable o abogado activista moral, responsable de garantizar que la ley y el sistema jurídico funcionen de la manera más justa posible. Así, el modelo de abogacía ética que discuten Parker y Evans45 se estructuró activamente en el curso clínico.</w:t>
      </w:r>
    </w:p>
    <w:p w:rsidR="00000000" w:rsidDel="00000000" w:rsidP="00000000" w:rsidRDefault="00000000" w:rsidRPr="00000000" w14:paraId="0000005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Otros cursos clínicos generalmente tienen como objetivo enseñar la ética como uno de sus principales objetivos de aprendizaje. Esto se define como la enseñanza del derecho en contexto y el papel del derecho en la sociedad, así como el papel de los abogados en la sociedad.46 Estos aprendizajes son posibles dentro de un curso clínico completo que abarca un semestre, y los estudiantes asisten entre 1 y 2 días. una semana en su sitio clínico, ya sea un centro legal comunitario, una agencia de reforma legal o una autoridad de regulación legal.</w:t>
      </w:r>
    </w:p>
    <w:p w:rsidR="00000000" w:rsidDel="00000000" w:rsidP="00000000" w:rsidRDefault="00000000" w:rsidRPr="00000000" w14:paraId="0000005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INTEGRACIÓN DE COMPONENTES CLÍNICOS EN LOS CURSOS.</w:t>
      </w:r>
    </w:p>
    <w:p w:rsidR="00000000" w:rsidDel="00000000" w:rsidP="00000000" w:rsidRDefault="00000000" w:rsidRPr="00000000" w14:paraId="0000005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Habiendo esbozado las cuestiones clave en torno al profesionalismo y la ética jurídica y cómo los cursos clínicos tienen el potencial de explorar estas cuestiones, esta sección analiza hasta qué punto es posible enseñar los tres elementos clave, cuando un componente clínico está integrado en un curso de ética*47. utilizando el ejemplo del componente clínico de la Universidad de Nueva Gales del Sur, Australia, Kingsford Legal Centre.</w:t>
      </w:r>
    </w:p>
    <w:p w:rsidR="00000000" w:rsidDel="00000000" w:rsidP="00000000" w:rsidRDefault="00000000" w:rsidRPr="00000000" w14:paraId="00000060">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18</w:t>
      </w:r>
      <w:r w:rsidDel="00000000" w:rsidR="00000000" w:rsidRPr="00000000">
        <w:rPr>
          <w:rtl w:val="0"/>
        </w:rPr>
      </w:r>
    </w:p>
    <w:p w:rsidR="00000000" w:rsidDel="00000000" w:rsidP="00000000" w:rsidRDefault="00000000" w:rsidRPr="00000000" w14:paraId="0000006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 Trabajar o contribuir a la justicia, la equidad y la mejora del sistema jurídico y de servicio a la comunidad, como parte del rol del abogado;</w:t>
      </w:r>
    </w:p>
    <w:p w:rsidR="00000000" w:rsidDel="00000000" w:rsidP="00000000" w:rsidRDefault="00000000" w:rsidRPr="00000000" w14:paraId="0000006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este informe posterior a la entrevista con el cliente, y también en la sesión informativa inicial del abogado voluntario por parte del estudiante, surgen a menudo una serie de cuestiones. Éstas incluyen:</w:t>
      </w:r>
    </w:p>
    <w:p w:rsidR="00000000" w:rsidDel="00000000" w:rsidP="00000000" w:rsidRDefault="00000000" w:rsidRPr="00000000" w14:paraId="0000006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un abogado debe actuar siguiendo las instrucciones de un cliente y si un cliente tiene una discapacidad, ¿cómo tratan los abogados al cliente? ¿Tiene una discapacidad psiquiátrica un impacto en la forma en que un abogado piensa sobre la capacidad de un cliente para dar instrucciones? ¿Qué es la discapacidad? ¿Cómo se ve afectado el cliente dentro del sistema legal por tener una discapacidad?</w:t>
      </w:r>
    </w:p>
    <w:p w:rsidR="00000000" w:rsidDel="00000000" w:rsidP="00000000" w:rsidRDefault="00000000" w:rsidRPr="00000000" w14:paraId="0000006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 ¿Quiénes son los abogados? ¿Quiénes son los clientes? ¿La limitada diversidad de la profesión jurídica tiene un impacto en la experiencia de los clientes desfavorecidos que buscan ayuda legal?</w:t>
      </w:r>
    </w:p>
    <w:p w:rsidR="00000000" w:rsidDel="00000000" w:rsidP="00000000" w:rsidRDefault="00000000" w:rsidRPr="00000000" w14:paraId="0000006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 ¿Qué son los conflictos de intereses? ¿Cómo debería una práctica jurídica gestionar los conflictos de intereses dentro de las familias?</w:t>
      </w:r>
    </w:p>
    <w:p w:rsidR="00000000" w:rsidDel="00000000" w:rsidP="00000000" w:rsidRDefault="00000000" w:rsidRPr="00000000" w14:paraId="0000006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 ¿Qué significa actuar siguiendo instrucciones?</w:t>
      </w:r>
    </w:p>
    <w:p w:rsidR="00000000" w:rsidDel="00000000" w:rsidP="00000000" w:rsidRDefault="00000000" w:rsidRPr="00000000" w14:paraId="0000006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 ¿Cuál es la responsabilidad de un abogado cuando se le pide consejo sobre algo que es ilegal?</w:t>
      </w:r>
    </w:p>
    <w:p w:rsidR="00000000" w:rsidDel="00000000" w:rsidP="00000000" w:rsidRDefault="00000000" w:rsidRPr="00000000" w14:paraId="0000006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 ¿Cuál es la función del abogado y el límite de estudiantes que no pueden dar asesoramiento jurídico?</w:t>
      </w:r>
    </w:p>
    <w:p w:rsidR="00000000" w:rsidDel="00000000" w:rsidP="00000000" w:rsidRDefault="00000000" w:rsidRPr="00000000" w14:paraId="00000069">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19</w:t>
      </w:r>
      <w:r w:rsidDel="00000000" w:rsidR="00000000" w:rsidRPr="00000000">
        <w:rPr>
          <w:rtl w:val="0"/>
        </w:rPr>
      </w:r>
    </w:p>
    <w:p w:rsidR="00000000" w:rsidDel="00000000" w:rsidP="00000000" w:rsidRDefault="00000000" w:rsidRPr="00000000" w14:paraId="0000006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g) ¿Cuánta información deberían dar los abogados a sus clientes sobre por qué no tienen un buen caso, teniendo en cuenta cuestiones de autonomía del cliente versus complejidad/paternalismo/desventaja?</w:t>
      </w:r>
    </w:p>
    <w:p w:rsidR="00000000" w:rsidDel="00000000" w:rsidP="00000000" w:rsidRDefault="00000000" w:rsidRPr="00000000" w14:paraId="0000006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Esta gama de cuestiones es indicativa del tipo de cuestiones que surgen. es muy ancho varían y dependen de los clientes que buscan asesoramiento jurídico, las cuestiones que plantean variar. Además, la discusión que sigue sobre estos temas puede variar, dependiendo del abogado/supervisor voluntario que esté trabajando con el cliente y alumno. La estrategia que el Centro ha desarrollado para garantizar que algunos de estos</w:t>
      </w:r>
    </w:p>
    <w:p w:rsidR="00000000" w:rsidDel="00000000" w:rsidP="00000000" w:rsidRDefault="00000000" w:rsidRPr="00000000" w14:paraId="0000006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 discuten los temas es alentar a los abogados/supervisores voluntarios a analizar con al estudiante cualquier problema que surgiera durante el proceso de entrevista. El personal clínico.</w:t>
      </w:r>
    </w:p>
    <w:p w:rsidR="00000000" w:rsidDel="00000000" w:rsidP="00000000" w:rsidRDefault="00000000" w:rsidRPr="00000000" w14:paraId="0000006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supervisor/abogado también puede participar en estas discusiones. Los dos desafíos con este enfoque son: la variabilidad de los problemas que surgen y la capacidad de abogados voluntarios para identificar problemas y discutirlos adecuadamente.</w:t>
      </w:r>
    </w:p>
    <w:p w:rsidR="00000000" w:rsidDel="00000000" w:rsidP="00000000" w:rsidRDefault="00000000" w:rsidRPr="00000000" w14:paraId="0000006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DESAFÍOS EN QUE LOS ESTUDIANTES PENSEN EN SU ROL Y CONTRIBUYAN A LA COMUNIDAD</w:t>
      </w:r>
    </w:p>
    <w:p w:rsidR="00000000" w:rsidDel="00000000" w:rsidP="00000000" w:rsidRDefault="00000000" w:rsidRPr="00000000" w14:paraId="0000006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Algunos de los abogados/supervisores voluntarios provienen de servicios legales/asistencia legal y están acostumbrados a trabajar con clientes desfavorecidos. Estos abogados, por ejemplo, han pensado en cuestiones relacionadas con el trabajo con clientes con discapacidad cuya capacidad para dar instrucciones puede verse cuestionada de alguna manera, o cuestiones relacionadas con el trabajo con clientes culturalmente diversos. También hay abogados de grandes</w:t>
      </w:r>
    </w:p>
    <w:p w:rsidR="00000000" w:rsidDel="00000000" w:rsidP="00000000" w:rsidRDefault="00000000" w:rsidRPr="00000000" w14:paraId="00000070">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20</w:t>
      </w:r>
      <w:r w:rsidDel="00000000" w:rsidR="00000000" w:rsidRPr="00000000">
        <w:rPr>
          <w:rtl w:val="0"/>
        </w:rPr>
      </w:r>
    </w:p>
    <w:p w:rsidR="00000000" w:rsidDel="00000000" w:rsidP="00000000" w:rsidRDefault="00000000" w:rsidRPr="00000000" w14:paraId="0000007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firmas comerciales y pequeñas prácticas suburbanas. Cada abogado/supervisor voluntario</w:t>
      </w:r>
    </w:p>
    <w:p w:rsidR="00000000" w:rsidDel="00000000" w:rsidP="00000000" w:rsidRDefault="00000000" w:rsidRPr="00000000" w14:paraId="0000007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aporta su perspectiva sobre los temas mencionados anteriormente. Debido a esto, cada estudiante también experimentará un informe diferente, no solo porque ven clientes diferentes sino porque cada abogado se acercará al cliente de manera única. Algunos tal vez puedan ver las injusticias estructurales más fácilmente, otros no. Esta variabilidad es a la vez una debilidad del componente clínico y una fortaleza.</w:t>
      </w:r>
    </w:p>
    <w:p w:rsidR="00000000" w:rsidDel="00000000" w:rsidP="00000000" w:rsidRDefault="00000000" w:rsidRPr="00000000" w14:paraId="0000007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 una fortaleza porque demuestra a los estudiantes que cada abogado tiene que lidiar con sus problemas individualmente, con apoyo, pero que no existe una "única respuesta correcta" para las cuestiones éticas. Cada abogado aporta su experiencia, valores individuales y perspectivas a la discusión. A menudo, las discusiones más interesantes se dan entre el grupo de abogados y el supervisor clínico del personal sobre cómo abordar un problema, y los estudiantes las observan y también pueden participar en ellas. Los estudiantes pueden observar desacuerdos o discusiones sólidas sobre cómo tratar con un cliente en particular. Esto enfatiza a los estudiantes que las cuestiones éticas no están claras y que hay una variedad de formas de abordarlas.</w:t>
      </w:r>
    </w:p>
    <w:p w:rsidR="00000000" w:rsidDel="00000000" w:rsidP="00000000" w:rsidRDefault="00000000" w:rsidRPr="00000000" w14:paraId="0000007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Debido a que los problemas que surgen de cada experiencia clínica varían sustancialmente entre los estudiantes, es un desafío garantizar que estos problemas individuales puedan compartirse dentro de un grupo más grande. Las lecciones que se pueden aprender de cada uno de los temas no están disponibles para todos los estudiantes, sino que sólo están disponibles para unos pocos estudiantes, los presentes en la sesión de asesoramiento de la tarde. Esta es una debilidad del</w:t>
      </w:r>
    </w:p>
    <w:p w:rsidR="00000000" w:rsidDel="00000000" w:rsidP="00000000" w:rsidRDefault="00000000" w:rsidRPr="00000000" w14:paraId="00000075">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21</w:t>
      </w:r>
      <w:r w:rsidDel="00000000" w:rsidR="00000000" w:rsidRPr="00000000">
        <w:rPr>
          <w:rtl w:val="0"/>
        </w:rPr>
      </w:r>
    </w:p>
    <w:p w:rsidR="00000000" w:rsidDel="00000000" w:rsidP="00000000" w:rsidRDefault="00000000" w:rsidRPr="00000000" w14:paraId="0000007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componente clínico, como todo el potencial de aprendizaje de los problemas que surgen en cada sesión de asesoramiento vespertina, no se desarrolla completamente en toda la cohorte de estudiantes.</w:t>
      </w:r>
    </w:p>
    <w:p w:rsidR="00000000" w:rsidDel="00000000" w:rsidP="00000000" w:rsidRDefault="00000000" w:rsidRPr="00000000" w14:paraId="0000007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Dos formas de profundizar y compartir el aprendizaje individual serían pedir a algunos estudiantes que presenten verbalmente sus experiencias específicas durante la sesión de entrevista ante la clase más grande, y también recurrir a las experiencias individuales de los estudiantes al discutir cuestiones éticas más amplias, como el deber de confidencialidad. o relaciones fiduciarias. Los estudiantes también podrían ganar puntos en sus calificaciones por su participación en clase*48 si utilizan ejemplos anónimos del componente clínico de la entrevista. Estos serían dos mecanismos para extraer un mayor aprendizaje del componente clínico. El beneficio adicional de estos enfoques sería que también permitirían el aprendizaje entre pares, comenzando el proceso dentro del entorno de clase formal, de recurrir a los pares para explorar y resolver cuestiones éticas. Esto tendría un beneficio sustancial para la práctica jurídica posterior de los estudiantes*49. Otro método para garantizar el aprendizaje entre pares sería exigir a los estudiantes que comenten sobre otras tres tareas de los estudiantes.</w:t>
      </w:r>
    </w:p>
    <w:p w:rsidR="00000000" w:rsidDel="00000000" w:rsidP="00000000" w:rsidRDefault="00000000" w:rsidRPr="00000000" w14:paraId="0000007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 exigir a los estudiantes que completen una tarea reflexiva establecida que les pide que reflexionen sobre cualquier cuestión ética que surgiera durante la sesión de entrevista, se les pide a todos los estudiantes que identifiquen cuestiones específicas, aunque hayan experimentado problemas diferentes. De esta manera la experiencia se valora por igual entre el grupo,</w:t>
      </w:r>
    </w:p>
    <w:p w:rsidR="00000000" w:rsidDel="00000000" w:rsidP="00000000" w:rsidRDefault="00000000" w:rsidRPr="00000000" w14:paraId="00000079">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22</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7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aunque los conocimientos que obtienen los estudiantes no se comparten con el grupo, lo que limita la</w:t>
      </w:r>
    </w:p>
    <w:p w:rsidR="00000000" w:rsidDel="00000000" w:rsidP="00000000" w:rsidRDefault="00000000" w:rsidRPr="00000000" w14:paraId="0000007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potencial del aprendizaje entre pares.</w:t>
      </w:r>
    </w:p>
    <w:p w:rsidR="00000000" w:rsidDel="00000000" w:rsidP="00000000" w:rsidRDefault="00000000" w:rsidRPr="00000000" w14:paraId="0000007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RESPONSABILIDAD DE CONTRIBUIR AL SISTEMA JURÍDICO PARA HACERLO MÁS JUSTO</w:t>
      </w:r>
    </w:p>
    <w:p w:rsidR="00000000" w:rsidDel="00000000" w:rsidP="00000000" w:rsidRDefault="00000000" w:rsidRPr="00000000" w14:paraId="0000007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otro mensaje implícito que se transmite al incorporar un componente clínico dentro de un curso básico sobre ética jurídica es que las universidades y facultades de derecho tienen la responsabilidad de responder de alguna manera a las necesidades jurídicas no satisfechas. Los estudiantes contribuyen activamente en la prestación de servicios legales a personas desfavorecidas. Al situar un componente clínico dentro de una clínica "interna", se transmite un mensaje claro a los estudiantes de que este es el trabajo central de la facultad de derecho e integra a los estudiantes en esta función. Les comunica a esos estudiantes que son parte del sistema legal, participando en él y que están brindando ayuda a las personas que necesitan ayuda legal y que no pueden pagarla. Entonces surge la pregunta: ¿qué responsabilidad tiene cada abogado, dentro del sistema legal, con sus habilidades y capacitación, para brindar ayuda legal a las personas desfavorecidas?</w:t>
      </w:r>
    </w:p>
    <w:p w:rsidR="00000000" w:rsidDel="00000000" w:rsidP="00000000" w:rsidRDefault="00000000" w:rsidRPr="00000000" w14:paraId="0000007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facultad de derecho responde simultáneamente a esa pregunta implícitamente financiando una clínica interna y exigiendo que todos los estudiantes completen el componente clínico. 'Las clínicas de las facultades de derecho siguen desempeñando un papel importante a la hora de hacer realidad el acceso a la justicia para muchas personas de bajos ingresos. Lo hacen no sólo exponiendo a los estudiantes de derecho a las</w:t>
      </w:r>
    </w:p>
    <w:p w:rsidR="00000000" w:rsidDel="00000000" w:rsidP="00000000" w:rsidRDefault="00000000" w:rsidRPr="00000000" w14:paraId="0000007F">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23</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8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problemas legales que enfrentan los pobres, sino también permitiendo a los estudiantes experimentar lo que equivale a una conexión "táctil" con la obligación de encontrar formas sustantivas y creativas de responder a necesidades legales insatisfechas. *50</w:t>
      </w:r>
    </w:p>
    <w:p w:rsidR="00000000" w:rsidDel="00000000" w:rsidP="00000000" w:rsidRDefault="00000000" w:rsidRPr="00000000" w14:paraId="0000008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Este es otro aspecto de este primer punto que los estudiantes aprenden a través de su componente clínico. La facultad de derecho modela la respuesta a la pregunta de qué responsabilidad tiene cada profesional del derecho ante la ley y el sistema legal.</w:t>
      </w:r>
    </w:p>
    <w:p w:rsidR="00000000" w:rsidDel="00000000" w:rsidP="00000000" w:rsidRDefault="00000000" w:rsidRPr="00000000" w14:paraId="0000008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 Autonomía del estudiante</w:t>
      </w:r>
    </w:p>
    <w:p w:rsidR="00000000" w:rsidDel="00000000" w:rsidP="00000000" w:rsidRDefault="00000000" w:rsidRPr="00000000" w14:paraId="0000008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Este es el segundo elemento de la ética profesional jurídica que se enseña a través del componente clínico.</w:t>
      </w:r>
    </w:p>
    <w:p w:rsidR="00000000" w:rsidDel="00000000" w:rsidP="00000000" w:rsidRDefault="00000000" w:rsidRPr="00000000" w14:paraId="0000008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estudiantes no observan las entrevistas de clientes con problemas legales, ni solo las interpretan, sino que entrevistan a clientes reales. Idealmente, esto apoya un sentido de propósito en la vida de los estudiantes. Según Ryan y Deci, "las necesidades de autonomía, competencia y relación "parecen ser esenciales para facilitar el funcionamiento óptimo de las propensiones naturales al crecimiento y la integración, así como para el desarrollo social constructivo y el bienestar personal". *51 Desarrollaron la teoría de la autodeterminación que explica qué "ayuda a las personas a prosperar y maximizar la motivación positiva". Experiencias de autonomía y relación, como</w:t>
      </w:r>
    </w:p>
    <w:p w:rsidR="00000000" w:rsidDel="00000000" w:rsidP="00000000" w:rsidRDefault="00000000" w:rsidRPr="00000000" w14:paraId="0000008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Entrevistar a los clientes en un ambiente de apoyo es el tipo de experiencia que</w:t>
      </w:r>
    </w:p>
    <w:p w:rsidR="00000000" w:rsidDel="00000000" w:rsidP="00000000" w:rsidRDefault="00000000" w:rsidRPr="00000000" w14:paraId="00000086">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24</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8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maximizaría la motivación positiva en los estudiantes y les ayudaría a prosperar. Este es un tema que justificaría una mayor investigación con el grupo de estudiantes.</w:t>
      </w:r>
    </w:p>
    <w:p w:rsidR="00000000" w:rsidDel="00000000" w:rsidP="00000000" w:rsidRDefault="00000000" w:rsidRPr="00000000" w14:paraId="0000008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estudiantes comentan informalmente sobre el impacto de ser responsable de entrevistar al cliente, descubrir en qué necesita ayuda el cliente y cómo pueden contribuir a ello. Para muchos es la primera vez que ven cómo la ley puede ayudar a las personas y cuán impenetrable puede ser el sistema legal para las personas desfavorecidas. La mayoría de los estudiantes están muy nerviosos acerca de si podrán entrevistar exitosamente a los clientes antes de la entrevista. Casi todos los estudiantes sienten una sensación de logro al final de la clínica de asesoramiento vespertina cuando han entrevistado a los clientes. En su tarea de reflexión identifican fácilmente áreas de mejora, pero también hacen referencia a lo que son capaces de lograr en la entrevista. A través de esto parece que el componente clínico construye el sentido de autonomía de los estudiantes y fortalece su motivación. Estos relatos son anecdóticos y justifican una mayor investigación empírica.</w:t>
      </w:r>
    </w:p>
    <w:p w:rsidR="00000000" w:rsidDel="00000000" w:rsidP="00000000" w:rsidRDefault="00000000" w:rsidRPr="00000000" w14:paraId="0000008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 </w:t>
        <w:tab/>
        <w:t xml:space="preserve">¿Cómo enseña el componente clínico a los estudiantes la importancia de ¿Reflexión y mejora continua?</w:t>
      </w:r>
    </w:p>
    <w:p w:rsidR="00000000" w:rsidDel="00000000" w:rsidP="00000000" w:rsidRDefault="00000000" w:rsidRPr="00000000" w14:paraId="0000008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Este es el tercero de los elementos clave que se encuentran en las diversas definiciones de lo que constituye un profesional jurídico ético. En lugar de asumir que la experiencia misma enseñará a los estudiantes, la importancia del informe y la reflexión es esencial. Los estudiantes necesitan el</w:t>
      </w:r>
    </w:p>
    <w:p w:rsidR="00000000" w:rsidDel="00000000" w:rsidP="00000000" w:rsidRDefault="00000000" w:rsidRPr="00000000" w14:paraId="0000008B">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25</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8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oportunidad de hablar entre ellos sobre lo que están aprendiendo y la reflexión es una</w:t>
      </w:r>
    </w:p>
    <w:p w:rsidR="00000000" w:rsidDel="00000000" w:rsidP="00000000" w:rsidRDefault="00000000" w:rsidRPr="00000000" w14:paraId="0000008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parte clave del proceso de aprendizaje*52.</w:t>
      </w:r>
    </w:p>
    <w:p w:rsidR="00000000" w:rsidDel="00000000" w:rsidP="00000000" w:rsidRDefault="00000000" w:rsidRPr="00000000" w14:paraId="0000008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Esto ocurre tanto formal como informalmente a través del componente clínico de ética en la UNSW. Se anima a los estudiantes a discutir sus experiencias de manera informal en un entorno grupal al final y durante la clínica de asesoramiento para la entrevista. También se les pide que completen una tarea formal que refleje su experiencia en la entrevista. Hay dos aspectos de la reflexión que conviene abordar aquí.</w:t>
      </w:r>
    </w:p>
    <w:p w:rsidR="00000000" w:rsidDel="00000000" w:rsidP="00000000" w:rsidRDefault="00000000" w:rsidRPr="00000000" w14:paraId="0000008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es la autorreflexión del estudiante, sobre cómo el entrevistador realizó la entrevista, áreas de mejora y problemas que surgieron entre el entrevistador y el entrevistado. La otra área de reflexión es sobre cuestiones éticas que pueden haber surgido o cuestiones más amplias en torno a la ley y el sistema legal y la participación del cliente en ellos. Ambas áreas de reflexión están incluidas en la tarea reflexiva. Generalmente los estudiantes son capaces de responder eficazmente a la pregunta reflexionando sobre su propia práctica de entrevista53. Su capacidad para reflexionar sobre el sistema jurídico y la ley varía.</w:t>
      </w:r>
    </w:p>
    <w:p w:rsidR="00000000" w:rsidDel="00000000" w:rsidP="00000000" w:rsidRDefault="00000000" w:rsidRPr="00000000" w14:paraId="0000009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Mejores Prácticas incluyen la reflexión como elemento vital dentro de los componentes clínicos estableciendo: En todos los cursos y componentes clínicos, se enfatiza la información y la discusión que fomenta la reflexión. Otras oportunidades estructuradas para la reflexión son una</w:t>
      </w:r>
    </w:p>
    <w:p w:rsidR="00000000" w:rsidDel="00000000" w:rsidP="00000000" w:rsidRDefault="00000000" w:rsidRPr="00000000" w14:paraId="00000091">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26</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9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 una parte importante y claramente articulada de cualquier curso clínico. La reflexión es informada por la literatura relevante e incorporado en cada curso clínico de una manera estructurada, planificada y reflexiva*54.</w:t>
      </w:r>
    </w:p>
    <w:p w:rsidR="00000000" w:rsidDel="00000000" w:rsidP="00000000" w:rsidRDefault="00000000" w:rsidRPr="00000000" w14:paraId="0000009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esta manera el componente clínico se estructura para cumplir con las mejores prácticas. La evaluación de la reflexión se analizará más adelante.</w:t>
      </w:r>
    </w:p>
    <w:p w:rsidR="00000000" w:rsidDel="00000000" w:rsidP="00000000" w:rsidRDefault="00000000" w:rsidRPr="00000000" w14:paraId="0000009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Hay aprendizajes adicionales que los estudiantes obtienen de su componente clínico y estos se discutirán ahora.</w:t>
      </w:r>
    </w:p>
    <w:p w:rsidR="00000000" w:rsidDel="00000000" w:rsidP="00000000" w:rsidRDefault="00000000" w:rsidRPr="00000000" w14:paraId="0000009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MODELAR EL TRABAJO COLABORATIVO EN EQUIPO Y DEMOSTRAR UN TIPO PARTICULAR DE PRÁCTICA JURÍDICA</w:t>
      </w:r>
    </w:p>
    <w:p w:rsidR="00000000" w:rsidDel="00000000" w:rsidP="00000000" w:rsidRDefault="00000000" w:rsidRPr="00000000" w14:paraId="0000009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Además de enseñar formalmente la ética y la toma de decisiones éticas, la metodología de enseñanza es igualmente importante. Si uno de los valores que se busca enseñar es el trabajo colaborativo en equipo, entonces hay que modelarlo*55. Por lo tanto, es vital que en la supervisión el supervisor clínico demuestre relaciones respetuosas y mutuas con los abogados supervisores voluntarios. La relación entre el supervisor clínico y el supervisor del abogado voluntario debe utilizar una comunicación clara.</w:t>
      </w:r>
    </w:p>
    <w:p w:rsidR="00000000" w:rsidDel="00000000" w:rsidP="00000000" w:rsidRDefault="00000000" w:rsidRPr="00000000" w14:paraId="00000097">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27</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9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Discutir los valores profesionales en un entorno clínico puede ayudar a los estudiantes a comenzar a</w:t>
      </w:r>
    </w:p>
    <w:p w:rsidR="00000000" w:rsidDel="00000000" w:rsidP="00000000" w:rsidRDefault="00000000" w:rsidRPr="00000000" w14:paraId="0000009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identificar su propio sentido profesional y así poder evaluar mejor en el futuro si una práctica particular se adapta a su identidad profesional56. No se puede sobrevalorar el papel de un consultorio clínico como modelo a seguir en la práctica jurídica sobre cómo debe comportarse un profesional del derecho y qué significa la toma de decisiones éticas. Al brindar la oportunidad a todos los estudiantes de 1.°, 2.° o 3.° año de participar en el componente clínico ubicado en un centro legal comunitario en funcionamiento, los estudiantes tienen la oportunidad de participar en un tipo particular de práctica legal y comenzar a pensar si ese tipo de práctica legal la práctica es aquella que se adapta a sus valores y a su enfoque de la ley. Muestra a otros profesionales del derecho ofreciendo su tiempo como voluntarios y así, con el ejemplo, se les muestra que otros profesionales del derecho creen que deberían contribuir a la comunidad con sus conocimientos jurídicos. Aborda indirectamente la cuestión de "¿qué responsabilidad tiene cada profesional del derecho de contribuir a la comunidad?"</w:t>
      </w:r>
    </w:p>
    <w:p w:rsidR="00000000" w:rsidDel="00000000" w:rsidP="00000000" w:rsidRDefault="00000000" w:rsidRPr="00000000" w14:paraId="0000009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estudiantes les han modelado formas de ser abogado con clientes desfavorecidos. También tienen un modelo de trabajo colaborativo en equipo, ya que el abogado supervisor clínico supervisor trabaja con los abogados supervisores voluntarios. Se les otorga un alto grado de responsabilidad al recibir instrucciones de los clientes, informar al abogado supervisor, investigar la ley y redactar los consejos brindados. A través de la tarea de reflexión e informalmente en la sesión de asesoramiento,</w:t>
      </w:r>
    </w:p>
    <w:p w:rsidR="00000000" w:rsidDel="00000000" w:rsidP="00000000" w:rsidRDefault="00000000" w:rsidRPr="00000000" w14:paraId="0000009B">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28</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9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estudiantes reflexionan sobre aspectos de la ley, el sistema legal y sus propias habilidades para entrevistas y la experiencia del cliente. Este aspecto, enseñar la autonomía de los estudiantes, es otro aprendizaje crítico.</w:t>
      </w:r>
    </w:p>
    <w:p w:rsidR="00000000" w:rsidDel="00000000" w:rsidP="00000000" w:rsidRDefault="00000000" w:rsidRPr="00000000" w14:paraId="0000009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FORMACIÓN DE SUPERVISORES DENTRO DEL COMPONENTE CLÍNICO Y EVALUACIÓN</w:t>
      </w:r>
    </w:p>
    <w:p w:rsidR="00000000" w:rsidDel="00000000" w:rsidP="00000000" w:rsidRDefault="00000000" w:rsidRPr="00000000" w14:paraId="0000009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se analizó anteriormente en el primer punto, se espera que los estudiantes sean capaces de reflexionar sobre una variedad de cuestiones, incluido el lugar del cliente y el suyo propio en el sistema legal y las cuestiones éticas que surjan. Idealmente, durante la clínica de asesoramiento nocturna, los estudiantes discuten con sus supervisores abogados voluntarios aspectos de su experiencia. Los abogados supervisores voluntarios también deberían poder brindarles retroalimentación formativa sobre su desempeño. Esta capacidad variará sustancialmente entre los abogados supervisores voluntarios. El Informe de Mejores Prácticas analiza la importancia de evaluar la reflexión, utilizando un enfoque basado en criterios que se centra tanto en el proceso reflexivo, el contenido de la reflexión y el vínculo con los resultados del aprendizaje*57.</w:t>
      </w:r>
    </w:p>
    <w:p w:rsidR="00000000" w:rsidDel="00000000" w:rsidP="00000000" w:rsidRDefault="00000000" w:rsidRPr="00000000" w14:paraId="0000009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Actualmente, las entrevistas de los estudiantes no se evalúan formalmente utilizando estándares basados en criterios, aunque lo ideal sería que abogados supervisores voluntarios brinden comentarios formativos. Los estudiantes a menudo mencionarán las dificultades que enfrentaron mientras</w:t>
      </w:r>
    </w:p>
    <w:p w:rsidR="00000000" w:rsidDel="00000000" w:rsidP="00000000" w:rsidRDefault="00000000" w:rsidRPr="00000000" w14:paraId="000000A0">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29</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A1">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entrevistadores y los abogados supervisores voluntarios, así como los supervisores Abogado clínico, brinde comentarios sobre cómo mejorar la práctica de las entrevistas. La tarea de reflexión, que sigue a la experiencia de la entrevista, es la evaluación sumativa del componente clínico, que evalúa la capacidad de los estudiantes para evaluar sus propias entrevistas, así como su pensamiento sobre su propia contribución actual y futura al derecho y al sistema legal. Hay 3 preguntas dentro de esta tarea y la calificación contribuye al 15% de la calificación general que reciben los estudiantes para el curso. Existe una rúbrica de evaluación publicada58 que describe qué aspectos se evalúan59. Lo ideal es que los estudiantes recurran a lecturas establecidas sobre buenas prácticas de entrevista60 e identifiquen cómo pudieron o no utilizar buenas prácticas de entrevista. Los estudiantes deben identificar cómo pueden mejorar en el futuro. No tienen la oportunidad de entrevistar a más clientes.</w:t>
      </w:r>
    </w:p>
    <w:p w:rsidR="00000000" w:rsidDel="00000000" w:rsidP="00000000" w:rsidRDefault="00000000" w:rsidRPr="00000000" w14:paraId="000000A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esta manera, el componente clínico refleja la idea de Stuckey et al de que "el aprendizaje óptimo a partir de la experiencia implica una secuencia continua y circular de cuatro etapas de experiencia, reflexión, teoría y aplicación".*61 Al incluir un</w:t>
      </w:r>
    </w:p>
    <w:p w:rsidR="00000000" w:rsidDel="00000000" w:rsidP="00000000" w:rsidRDefault="00000000" w:rsidRPr="00000000" w14:paraId="000000A3">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30</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A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tarea reflexiva, que se basa en la teoría, el componente clínico enseña</w:t>
      </w:r>
    </w:p>
    <w:p w:rsidR="00000000" w:rsidDel="00000000" w:rsidP="00000000" w:rsidRDefault="00000000" w:rsidRPr="00000000" w14:paraId="000000A5">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los estudiantes la importancia de ese proceso circular.</w:t>
      </w:r>
    </w:p>
    <w:p w:rsidR="00000000" w:rsidDel="00000000" w:rsidP="00000000" w:rsidRDefault="00000000" w:rsidRPr="00000000" w14:paraId="000000A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Dentro del componente clínico brindado a través del Kingsford Legal Center en la UNSW, los abogados supervisores voluntarios que trabajan activamente con los estudiantes, los guían para seguir las instrucciones del cliente, trabajan con ellos para desarrollar asesoramiento legal para el cliente, supervisan su toma de notas y resúmenes escritos del asesoramiento del cliente. Estos voluntarios no reciben capacitación formal para su función de enseñar a los estudiantes. También hay abogados supervisores clínicos que están capacitados en supervisión clínica que supervisan a los abogados supervisores voluntarios y que brindan capacitación en el trabajo mediante el modelado de la enseñanza y la supervisión apropiadas de los estudiantes. Los abogados supervisores voluntarios reciben capacitación en áreas relevantes del derecho dentro de una práctica jurídica comunitaria, pero no reciben capacitación sobre cómo supervisar a los estudiantes. Una de las preocupaciones ha sido que puede resultar demasiado agotador para los abogados supervisores voluntarios exigirles que también obtengan capacitación en habilidades de supervisión cuando donan su tiempo al Centro para clientes desfavorecidos. Sin embargo, como anécdota, muchos de los abogados supervisores voluntarios también comentan el placer que obtienen al trabajar con estudiantes de derecho y supervisar su trabajo*62.</w:t>
      </w:r>
    </w:p>
    <w:p w:rsidR="00000000" w:rsidDel="00000000" w:rsidP="00000000" w:rsidRDefault="00000000" w:rsidRPr="00000000" w14:paraId="000000A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mínimo, se debe ofrecer capacitación en habilidades de supervisión a todos los supervisores abogados voluntarios. Incluso si no identifican inmediatamente la utilidad de</w:t>
      </w:r>
    </w:p>
    <w:p w:rsidR="00000000" w:rsidDel="00000000" w:rsidP="00000000" w:rsidRDefault="00000000" w:rsidRPr="00000000" w14:paraId="000000A8">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31</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A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 recibir capacitación en la supervisión de estudiantes, se mejorarán las habilidades de supervisión transferibles a sus lugares de trabajo donde podrán supervisar a otros empleados. Las Mejores Prácticas dejan claro que:</w:t>
      </w:r>
    </w:p>
    <w:p w:rsidR="00000000" w:rsidDel="00000000" w:rsidP="00000000" w:rsidRDefault="00000000" w:rsidRPr="00000000" w14:paraId="000000A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“Todos los supervisores, incluidos los supervisores a corto plazo, sustitutos y contratados por agencias, [deberían recibir] capacitación en el proceso de supervisión y se les debería proporcionar el tiempo y los recursos para cumplir con sus responsabilidades.</w:t>
      </w:r>
    </w:p>
    <w:p w:rsidR="00000000" w:rsidDel="00000000" w:rsidP="00000000" w:rsidRDefault="00000000" w:rsidRPr="00000000" w14:paraId="000000A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supervisores [deberían] poder participar en cursos de capacitación en supervisión y procesos de desarrollo de habilidades específicos. Las universidades [darán] un compromiso continuo con el desarrollo profesional de los supervisores"*63.</w:t>
      </w:r>
    </w:p>
    <w:p w:rsidR="00000000" w:rsidDel="00000000" w:rsidP="00000000" w:rsidRDefault="00000000" w:rsidRPr="00000000" w14:paraId="000000AC">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 el objetivo del componente clínico es enseñar los 3 elementos descritos anteriormente, entonces es clave que los abogados supervisores voluntarios estén capacitados para enseñar estos elementos. Debido a las diferencias entre el grupo de abogados voluntarios, algunos de la práctica privada, otros de grandes firmas de abogados comerciales, otros de prácticas de asistencia jurídica, necesitarían una oportunidad para reflexionar sobre el tipo de cuestiones que surgen al entrevistar a clientes desfavorecidos. La capacitación brindaría a los abogados supervisores voluntarios la oportunidad de reflexionar sobre estos temas. También se les podría pedir su opinión sobre las "buenas prácticas de entrevista". Como se trata de abogados con experiencia, habría lugar para un amplio debate sobre ambas cuestiones en el</w:t>
      </w:r>
    </w:p>
    <w:p w:rsidR="00000000" w:rsidDel="00000000" w:rsidP="00000000" w:rsidRDefault="00000000" w:rsidRPr="00000000" w14:paraId="000000AD">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32</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A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proceso de enseñanza para enseñar a los estudiantes a reflexionar sobre su papel como futuros abogados contribuyendo a la comunidad y la necesidad de mejora continua y reflexión permanente. A nivel básico, debido a que cada abogado ofrece su tiempo como mínimo, estos abogados/supervisores creen que tienen la responsabilidad de contribuir de alguna forma a la comunidad. La discusión en grupos pequeños sobre ambos aspectos sería un mecanismo eficaz para capacitarlos. Es posible que los abogados supervisores voluntarios necesiten más apoyo durante las clínicas de asesoramiento para alentar a los estudiantes a pensar críticamente sobre su papel y sus entrevistas.</w:t>
      </w:r>
    </w:p>
    <w:p w:rsidR="00000000" w:rsidDel="00000000" w:rsidP="00000000" w:rsidRDefault="00000000" w:rsidRPr="00000000" w14:paraId="000000A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Para capacitar a los abogados para que enseñen la autonomía de los estudiantes, sería útil esbozar algo de la historia de la metodología de la educación jurídica clínica y la importancia de darles a los estudiantes responsabilidad64 por su trabajo dentro de ella. A partir de esto, se podrían discutir una variedad de formas de fomentar la autonomía, como por ejemplo que los estudiantes participen en la investigación de consejos, que se soliciten sus puntos de vista sobre los problemas de los clientes, que los estudiantes escriban los consejos y que se los critique de manera constructiva. El vínculo más amplio entre los valores personales y la automotivación también podría enseñarse proporcionando algunas referencias a los abogados supervisores voluntarios para su lectura adicional. Otro aspecto del desarrollo de la autonomía de los estudiantes es brindar retroalimentación efectiva y oportuna. Esto también se reconoce en las mejores prácticas que establecen que:</w:t>
      </w:r>
    </w:p>
    <w:p w:rsidR="00000000" w:rsidDel="00000000" w:rsidP="00000000" w:rsidRDefault="00000000" w:rsidRPr="00000000" w14:paraId="000000B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frecuencia de la retroalimentación [debe] planificarse antes del uso de componentes clínicos para garantizar</w:t>
      </w:r>
    </w:p>
    <w:p w:rsidR="00000000" w:rsidDel="00000000" w:rsidP="00000000" w:rsidRDefault="00000000" w:rsidRPr="00000000" w14:paraId="000000B1">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33</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B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que dicha retroalimentación sea consistente en todo el alumnado; y apoya el proceso clínico."*65</w:t>
      </w:r>
    </w:p>
    <w:p w:rsidR="00000000" w:rsidDel="00000000" w:rsidP="00000000" w:rsidRDefault="00000000" w:rsidRPr="00000000" w14:paraId="000000B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Para capacitar a los abogados para que enseñen una reflexión continua, lo ideal sería que los abogados supervisores voluntarios estuvieran capacitados para preguntar al final de cada entrevista "¿Qué hicimos bien? ¿Y qué podríamos hacer mejor?". Esto podría luego modelarle al estudiante la importancia de la autoevaluación y la crítica de forma continua. También se podría alentar al abogado supervisor voluntario a reflexionar sobre su entrevista con el cliente y modelar el análisis de lo que funcionó bien y lo que podría mejorarse con el cliente. Los abogados supervisores voluntarios podrían participar en juegos de roles durante la capacitación para desarrollar sus habilidades en estas áreas.</w:t>
      </w:r>
    </w:p>
    <w:p w:rsidR="00000000" w:rsidDel="00000000" w:rsidP="00000000" w:rsidRDefault="00000000" w:rsidRPr="00000000" w14:paraId="000000B4">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Luego de esta capacitación, el siguiente desafío sería medir si los estudiantes están aprendiendo estos 3 elementos. Actualmente la única forma de medirlo es a través del contenido de la tarea reflexiva realizada por cada estudiante. Estos demuestran que la mayoría de los estudiantes son capaces de reflexionar sobre su papel futuro como abogados y criticar sus propias entrevistas. Evaluar si están aprendiendo autonomía es más difícil. El único mecanismo es la propia evaluación del estudiante de su sentido de crecimiento y aprendizaje a través de la experiencia. El aprendizaje sobre la necesidad de mejora continua y autorreflexión probablemente se pueda medir a través de la tarea de reflexión y también de la autoevaluación del estudiante antes y después. Investigación empírica sobre cada uno de estos aspectos, pidiendo a los estudiantes que den su opinión sobre cada aspecto tanto</w:t>
      </w:r>
    </w:p>
    <w:p w:rsidR="00000000" w:rsidDel="00000000" w:rsidP="00000000" w:rsidRDefault="00000000" w:rsidRPr="00000000" w14:paraId="000000B5">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34</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B6">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antes y después de su componente clínico puede proporcionar un medio para medir la</w:t>
      </w:r>
    </w:p>
    <w:p w:rsidR="00000000" w:rsidDel="00000000" w:rsidP="00000000" w:rsidRDefault="00000000" w:rsidRPr="00000000" w14:paraId="000000B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impacto del aprendizaje a través del componente clínico.</w:t>
      </w:r>
    </w:p>
    <w:p w:rsidR="00000000" w:rsidDel="00000000" w:rsidP="00000000" w:rsidRDefault="00000000" w:rsidRPr="00000000" w14:paraId="000000B8">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IMPUGNACIONES DE UN COMPONENTE CLÍNICO DENTRO DE UNA MATERIA DE DERECHO SUSTANTIVO</w:t>
      </w:r>
    </w:p>
    <w:p w:rsidR="00000000" w:rsidDel="00000000" w:rsidP="00000000" w:rsidRDefault="00000000" w:rsidRPr="00000000" w14:paraId="000000B9">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partir de esta breve discusión, es evidente que existen aprendizajes valiosos sobre la práctica ética y la toma de decisiones para los estudiantes, incluso dentro de una breve sesión de asesoramiento de entrevista de cinco horas, componente clínico. La integración de experiencias y metodologías clínicas en el plan de estudios sustantivo ha sido debatida y generalmente reconocida como una innovación valiosa dentro de la educación jurídica66. Otras facultades de derecho han intentado incorporar elementos clínicos dentro de cursos sustantivos, como en la Universidad de Maryland, la Universidad de Nuevo México y la Universidad de Nueva York.*67 Trabajar con clientes reales durante el primer o segundo año no se adopta ampliamente y, sin embargo, tiene claras ventajas.</w:t>
      </w:r>
    </w:p>
    <w:p w:rsidR="00000000" w:rsidDel="00000000" w:rsidP="00000000" w:rsidRDefault="00000000" w:rsidRPr="00000000" w14:paraId="000000BA">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Hay 2 áreas distintas de mejora y crecimiento dentro del componente clínico.</w:t>
      </w:r>
    </w:p>
    <w:p w:rsidR="00000000" w:rsidDel="00000000" w:rsidP="00000000" w:rsidRDefault="00000000" w:rsidRPr="00000000" w14:paraId="000000BB">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integración entre el componente clínico y la materia de ética sustantiva en UNSW Law puede ser un desafío. Si bien se enseñan los 3 elementos específicos discutidos</w:t>
      </w:r>
    </w:p>
    <w:p w:rsidR="00000000" w:rsidDel="00000000" w:rsidP="00000000" w:rsidRDefault="00000000" w:rsidRPr="00000000" w14:paraId="000000BC">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35</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BD">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Dentro del componente clínico, el mayor desafío es "cómo aprovechar al máximo" un componente clínico valioso y poco común dentro de una materia de derecho sustantivo en toda la cohorte de estudiantes. Un centro de derecho comunitario, que es en gran medida interno, no puede ofrecer una experiencia de aprendizaje clínico en una variedad de materias de derecho sustantivo, especialmente cuando hay más de 180 estudiantes cada semestre. Requiere demasiados recursos. Como parte del aprendizaje se basa individualmente, se deben explorar formas de fomentar el aprendizaje entre pares y profundizar el aprendizaje desde el componente clínico. Estos posibles enfoques podrían incluir introducir una presentación oral individual en la clase, como alternativa de evaluación, y atribuir calificaciones por la participación en clase donde los estudiantes usan su componente clínico para describir o analizar cuestiones éticas en las discusiones que ocurren durante el curso.</w:t>
      </w:r>
    </w:p>
    <w:p w:rsidR="00000000" w:rsidDel="00000000" w:rsidP="00000000" w:rsidRDefault="00000000" w:rsidRPr="00000000" w14:paraId="000000BE">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segunda área de crecimiento es la capacitación de abogados supervisores voluntarios para enseñar los 3 elementos de manera más efectiva y explorar una evaluación efectiva de los mismos. Esto se ha discutido extensamente más arriba.</w:t>
      </w:r>
    </w:p>
    <w:p w:rsidR="00000000" w:rsidDel="00000000" w:rsidP="00000000" w:rsidRDefault="00000000" w:rsidRPr="00000000" w14:paraId="000000BF">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CONCLUSIÓN</w:t>
      </w:r>
    </w:p>
    <w:p w:rsidR="00000000" w:rsidDel="00000000" w:rsidP="00000000" w:rsidRDefault="00000000" w:rsidRPr="00000000" w14:paraId="000000C0">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esta discusión se desprende claramente que la formación y la concienciación sobre la ética son una parte vital de cualquier educación y carrera jurídica. En lugar de centrarse en las consecuencias disciplinarias de la mala práctica, es clave reconocer que un abogado ético identificará su responsabilidad de contribuir a la comunidad, al sistema legal y a mejorar</w:t>
      </w:r>
    </w:p>
    <w:p w:rsidR="00000000" w:rsidDel="00000000" w:rsidP="00000000" w:rsidRDefault="00000000" w:rsidRPr="00000000" w14:paraId="000000C1">
      <w:pP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ff0000"/>
          <w:sz w:val="22"/>
          <w:szCs w:val="22"/>
          <w:rtl w:val="0"/>
        </w:rPr>
        <w:t xml:space="preserve">Inicio página 36</w:t>
      </w:r>
      <w:r w:rsidDel="00000000" w:rsidR="00000000" w:rsidRPr="00000000">
        <w:rPr>
          <w:rFonts w:ascii="Calibri" w:cs="Calibri" w:eastAsia="Calibri" w:hAnsi="Calibri"/>
          <w:sz w:val="22"/>
          <w:szCs w:val="22"/>
          <w:rtl w:val="0"/>
        </w:rPr>
        <w:t xml:space="preserve"> </w:t>
      </w:r>
    </w:p>
    <w:p w:rsidR="00000000" w:rsidDel="00000000" w:rsidP="00000000" w:rsidRDefault="00000000" w:rsidRPr="00000000" w14:paraId="000000C2">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justicia para la comunidad. También se comprometerán a ejercer una abogacía competente, autodirigida y autónoma. La reflexión constante y la mejora continua en su trabajo serán un aspecto adicional de su trabajo. Estos tres elementos de lo que constituye un profesional jurídico ético se desarrollan, incluso en un componente clínico breve y preciso dentro de un curso de ética más amplio. Las clínicas tienen riquezas particulares para ofrecer la enseñanza de la ética. Un componente clínico relativamente breve dentro de una materia de ética sustantiva proporcionará un aprendizaje profundo a los estudiantes, incluidos estos 3 elementos clave, además de modelar el trabajo en equipo y el papel de otros profesionales legales que contribuyen a la comunidad. Los desafíos incluyen garantizar la capacitación de todos los abogados supervisores voluntarios en habilidades de supervisión. Como los supervisores tendrán diferentes habilidades y perspectivas sobre la ley y su papel en el sistema legal, es esencial proporcionar un foro en el que explorar su propia práctica de entrevistas y los valores y creencias sobre el papel de los abogados en la contribución a la comunidad. La capacitación para brindar retroalimentación efectiva, incluido el uso de juegos de roles, será una forma esencial de mejorar el componente clínico. La otra área de mejora es aprovechar al máximo la experiencia individual y las reflexiones de los estudiantes, en todo el grupo de estudiantes, a través de algunas opciones de evaluación adicionales y el intercambio de experiencias individuales en el tiempo de clase. Finalmente, fortalece los componentes clínicos para utilizar las mejores prácticas en educación clínica para ayudar en su diseño.</w:t>
      </w:r>
    </w:p>
    <w:p w:rsidR="00000000" w:rsidDel="00000000" w:rsidP="00000000" w:rsidRDefault="00000000" w:rsidRPr="00000000" w14:paraId="000000C3">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INICIO PIE DE PÁGINAS:</w:t>
      </w:r>
    </w:p>
    <w:p w:rsidR="00000000" w:rsidDel="00000000" w:rsidP="00000000" w:rsidRDefault="00000000" w:rsidRPr="00000000" w14:paraId="000000C4">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1</w:t>
      </w:r>
    </w:p>
    <w:p w:rsidR="00000000" w:rsidDel="00000000" w:rsidP="00000000" w:rsidRDefault="00000000" w:rsidRPr="00000000" w14:paraId="000000C5">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 </w:t>
        <w:tab/>
        <w:t xml:space="preserve">Anna Cody es Profesora Asociada de Derecho en la Universidad de Nueva Gales del Sur y Directora del Centro Legal Kingsford, Australia. Me gustaría agradecer las ideas y la ayuda de la profesora Judith Welch Wegner, el profesor Alex Steel, Meena Sripathy y los dos revisores ciegos al escribir este artículo.</w:t>
      </w:r>
    </w:p>
    <w:p w:rsidR="00000000" w:rsidDel="00000000" w:rsidP="00000000" w:rsidRDefault="00000000" w:rsidRPr="00000000" w14:paraId="000000C6">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 </w:t>
        <w:tab/>
        <w:t xml:space="preserve">Australia cuenta ahora con reglas modelo de práctica jurídica que se utilizan en todos los estados y territorios.</w:t>
      </w:r>
    </w:p>
    <w:p w:rsidR="00000000" w:rsidDel="00000000" w:rsidP="00000000" w:rsidRDefault="00000000" w:rsidRPr="00000000" w14:paraId="000000C7">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2</w:t>
      </w:r>
    </w:p>
    <w:p w:rsidR="00000000" w:rsidDel="00000000" w:rsidP="00000000" w:rsidRDefault="00000000" w:rsidRPr="00000000" w14:paraId="000000C8">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 </w:t>
        <w:tab/>
        <w:t xml:space="preserve">Mejores prácticas en la educación jurídica clínica australiana, http://www.olt.gov.au/proiect-strengthening-australian-legal-ed-clinical-experiences-monash-2010. Adrian Evans, Anna Cody, Anna Copeland, Jeff Giddings, Mary Anne Noone, Simon Rice. Oficina de Aprendizaje y Enseñanza, 2013.</w:t>
      </w:r>
    </w:p>
    <w:p w:rsidR="00000000" w:rsidDel="00000000" w:rsidP="00000000" w:rsidRDefault="00000000" w:rsidRPr="00000000" w14:paraId="000000C9">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 </w:t>
        <w:tab/>
        <w:t xml:space="preserve">Kevin Kerrigan, '¿Cómo te sientes acerca de este cliente?'- Un comentario sobre el modelo clínico como vehículo para enseñar ética a estudiantes de derecho. 2007 Int'l J Clinical Legal Educ 7 2007.</w:t>
      </w:r>
    </w:p>
    <w:p w:rsidR="00000000" w:rsidDel="00000000" w:rsidP="00000000" w:rsidRDefault="00000000" w:rsidRPr="00000000" w14:paraId="000000CA">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 </w:t>
        <w:tab/>
        <w:t xml:space="preserve">Julian Webb, 'Conduct, Ethics and Experience in Vocational Legal Education' en Ethical Challenges to Legal Education and Conduct, Hart Publishing, Oxford 1998 citado en Kerrigan '¿Cómo te sientes acerca de este cliente?'-Un comentario sobre el modelo clínico como un vehículo para la enseñanza de la ética a los estudiantes de derecho. 2007 Int'l J. Clínica Legal Educ 7 2007.</w:t>
      </w:r>
    </w:p>
    <w:p w:rsidR="00000000" w:rsidDel="00000000" w:rsidP="00000000" w:rsidRDefault="00000000" w:rsidRPr="00000000" w14:paraId="000000CB">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3</w:t>
      </w:r>
    </w:p>
    <w:p w:rsidR="00000000" w:rsidDel="00000000" w:rsidP="00000000" w:rsidRDefault="00000000" w:rsidRPr="00000000" w14:paraId="000000CC">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 </w:t>
        <w:tab/>
        <w:t xml:space="preserve">En Inglaterra la ética se enseña frecuentemente a través de reglas y en Australia y Estados Unidos ocurre lo mismo. Nigel Duncan y Susan L. Kay, 'Abordar la competencia, la ética y el profesionalismo de los abogados', en Frank Bloch ed, The Global Clinical Movement, 2011 London OUP.</w:t>
      </w:r>
    </w:p>
    <w:p w:rsidR="00000000" w:rsidDel="00000000" w:rsidP="00000000" w:rsidRDefault="00000000" w:rsidRPr="00000000" w14:paraId="000000CD">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7 </w:t>
        <w:tab/>
        <w:t xml:space="preserve">Christine Parker y Adrian Evans, Inside Lawyers Ethics, 2ª ed. Melbourne, Cambridge University Press 2014.</w:t>
      </w:r>
    </w:p>
    <w:p w:rsidR="00000000" w:rsidDel="00000000" w:rsidP="00000000" w:rsidRDefault="00000000" w:rsidRPr="00000000" w14:paraId="000000CE">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8 </w:t>
        <w:tab/>
        <w:t xml:space="preserve">Julian Webb, Ser abogado/Ser un ser humano, 5 Ética jurídica 130 2002</w:t>
      </w:r>
    </w:p>
    <w:p w:rsidR="00000000" w:rsidDel="00000000" w:rsidP="00000000" w:rsidRDefault="00000000" w:rsidRPr="00000000" w14:paraId="000000CF">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4</w:t>
      </w:r>
    </w:p>
    <w:p w:rsidR="00000000" w:rsidDel="00000000" w:rsidP="00000000" w:rsidRDefault="00000000" w:rsidRPr="00000000" w14:paraId="000000D0">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9. En el taller impartido sobre el tema de los componentes clínicos dentro de las materias de ética en la conferencia ICJLE de 2014, los participantes incluyeron la "competencia" como una de las enseñanzas éticas clave que debería incluirse incluso dentro de un componente clínico breve.</w:t>
      </w:r>
    </w:p>
    <w:p w:rsidR="00000000" w:rsidDel="00000000" w:rsidP="00000000" w:rsidRDefault="00000000" w:rsidRPr="00000000" w14:paraId="000000D1">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10 </w:t>
        <w:tab/>
        <w:t xml:space="preserve">William M Sullivan et al, Educating Lawyers: Preparation for the Profession of Law (2007) (en adelante, el informe Carnegie), citado en Tony Foley, Margie Rowe, Vivien Holmes y Stephen Tang, "Teaching professionalism in legal clinic- what new los profesionales dicen que es importante" Revista Internacional de Educación Jurídica Clínica, vol. 17, 2012.</w:t>
      </w:r>
    </w:p>
    <w:p w:rsidR="00000000" w:rsidDel="00000000" w:rsidP="00000000" w:rsidRDefault="00000000" w:rsidRPr="00000000" w14:paraId="000000D2">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11 </w:t>
        <w:tab/>
        <w:t xml:space="preserve">Neil Hamilton y Verna Monson, 'El desafío ético de la educación jurídica: investigación empírica sobre cómo fomentar más eficazmente la formación profesional (profesionalismo) de cada estudiante' University of St Thomas Law Journal, Vol9:2 2012 p 332</w:t>
      </w:r>
    </w:p>
    <w:p w:rsidR="00000000" w:rsidDel="00000000" w:rsidP="00000000" w:rsidRDefault="00000000" w:rsidRPr="00000000" w14:paraId="000000D3">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Informe del Grupo de Trabajo sobre las facultades de derecho y la profesión, Narrowing the Gap: Legal Education and Professional Development-An Educational Continuum (American Bar Association, julio de 1992), (el Informe MacCrate")</w:t>
      </w:r>
    </w:p>
    <w:p w:rsidR="00000000" w:rsidDel="00000000" w:rsidP="00000000" w:rsidRDefault="00000000" w:rsidRPr="00000000" w14:paraId="000000D4">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5</w:t>
      </w:r>
    </w:p>
    <w:p w:rsidR="00000000" w:rsidDel="00000000" w:rsidP="00000000" w:rsidRDefault="00000000" w:rsidRPr="00000000" w14:paraId="000000D5">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13 </w:t>
        <w:tab/>
        <w:t xml:space="preserve">Mary Anne Noone y Judith Dickson, 'Enseñar hacia un nuevo profesionalismo: desafiar a los estudiantes de derecho a convertirse en abogados éticos' 4 Ética jurídica 127 2001, 144</w:t>
      </w:r>
    </w:p>
    <w:p w:rsidR="00000000" w:rsidDel="00000000" w:rsidP="00000000" w:rsidRDefault="00000000" w:rsidRPr="00000000" w14:paraId="000000D6">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6</w:t>
      </w:r>
    </w:p>
    <w:p w:rsidR="00000000" w:rsidDel="00000000" w:rsidP="00000000" w:rsidRDefault="00000000" w:rsidRPr="00000000" w14:paraId="000000D7">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14 </w:t>
        <w:tab/>
        <w:t xml:space="preserve">Ross Hyams, 'Sobre enseñar a los estudiantes a 'actuar como abogados': ¿Qué clase de abogado?'. 13 Int'l J. Educación jurídica clínica. 21 2008, 44.</w:t>
      </w:r>
    </w:p>
    <w:p w:rsidR="00000000" w:rsidDel="00000000" w:rsidP="00000000" w:rsidRDefault="00000000" w:rsidRPr="00000000" w14:paraId="000000D8">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15 </w:t>
        <w:tab/>
        <w:t xml:space="preserve">Ross Hyams, "Sobre enseñar a los estudiantes a 'actuar como abogados': ¿Qué tipo de abogado?". 13 Int'l J. Educación jurídica clínica. 21 2008, 21</w:t>
      </w:r>
    </w:p>
    <w:p w:rsidR="00000000" w:rsidDel="00000000" w:rsidP="00000000" w:rsidRDefault="00000000" w:rsidRPr="00000000" w14:paraId="000000D9">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7</w:t>
      </w:r>
    </w:p>
    <w:p w:rsidR="00000000" w:rsidDel="00000000" w:rsidP="00000000" w:rsidRDefault="00000000" w:rsidRPr="00000000" w14:paraId="000000DA">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16 </w:t>
        <w:tab/>
        <w:t xml:space="preserve">Hay más de 200 centros legales comunitarios en Australia que brindan ayuda legal gratuita (asesoramiento, trabajo de casos, educación comunitaria y servicios de reforma legal) a miembros desfavorecidos de la comunidad. www.naclc.org.au</w:t>
      </w:r>
    </w:p>
    <w:p w:rsidR="00000000" w:rsidDel="00000000" w:rsidP="00000000" w:rsidRDefault="00000000" w:rsidRPr="00000000" w14:paraId="000000DB">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17</w:t>
      </w:r>
    </w:p>
    <w:p w:rsidR="00000000" w:rsidDel="00000000" w:rsidP="00000000" w:rsidRDefault="00000000" w:rsidRPr="00000000" w14:paraId="000000DC">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Larry Krieger 'La inseparabilidad del profesionalismo y la satisfacción personal: perspectivas sobre valores, integridad y felicidad, 11 Clinical L.Rev. 4125 (2005), y Tony Foley, Margie Rowe, Vivien Holmes y Stephen Tang, "Enseñar el profesionalismo en la clínica jurídica: lo que los nuevos profesionales dicen que es importante" Revista internacional de educación jurídica clínica, vol. 17, 2012</w:t>
      </w:r>
    </w:p>
    <w:p w:rsidR="00000000" w:rsidDel="00000000" w:rsidP="00000000" w:rsidRDefault="00000000" w:rsidRPr="00000000" w14:paraId="000000DD">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8</w:t>
      </w:r>
    </w:p>
    <w:p w:rsidR="00000000" w:rsidDel="00000000" w:rsidP="00000000" w:rsidRDefault="00000000" w:rsidRPr="00000000" w14:paraId="000000DE">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18. La UNSW no enseña con un método socrático puro y existe una variedad de prácticas que están más contextualizadas, como la participación estructurada en clases. Véase Alex Steel, Julian Laurens y Anna Huggins, La participación en clase como estrategia de aprendizaje y evaluación en derecho: facilitar la participación de los estudiantes, el desarrollo de habilidades y el aprendizaje profundo (2012) 36(1) UNSW Law Journal 30</w:t>
      </w:r>
    </w:p>
    <w:p w:rsidR="00000000" w:rsidDel="00000000" w:rsidP="00000000" w:rsidRDefault="00000000" w:rsidRPr="00000000" w14:paraId="000000DF">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19 </w:t>
        <w:tab/>
        <w:t xml:space="preserve">Larry Krieger, 'La inseparabilidad del profesionalismo y la satisfacción personal: perspectivas sobre valores, integridad y felicidad, 11 Clinical L.Rev. 4125 (2005)</w:t>
      </w:r>
    </w:p>
    <w:p w:rsidR="00000000" w:rsidDel="00000000" w:rsidP="00000000" w:rsidRDefault="00000000" w:rsidRPr="00000000" w14:paraId="000000E0">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20 </w:t>
        <w:tab/>
        <w:t xml:space="preserve">Tony Foley, Margie Rowe, Vivien Holmes y Stephen Tang "Enseñar el profesionalismo en la clínica jurídica: lo que los nuevos profesionales dicen que es importante" Revista Internacional de Educación Jurídica Clínica, vol. 17, 2012</w:t>
      </w:r>
    </w:p>
    <w:p w:rsidR="00000000" w:rsidDel="00000000" w:rsidP="00000000" w:rsidRDefault="00000000" w:rsidRPr="00000000" w14:paraId="000000E1">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21 Paula Lundstad, Predicar con el ejemplo: crear comunidades de aprendizaje para promover una pedagogía de la justicia, 4 Seattle J. Soc. Justo. 613 2005-2006;</w:t>
      </w:r>
    </w:p>
    <w:p w:rsidR="00000000" w:rsidDel="00000000" w:rsidP="00000000" w:rsidRDefault="00000000" w:rsidRPr="00000000" w14:paraId="000000E2">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9</w:t>
      </w:r>
    </w:p>
    <w:p w:rsidR="00000000" w:rsidDel="00000000" w:rsidP="00000000" w:rsidRDefault="00000000" w:rsidRPr="00000000" w14:paraId="000000E3">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22. Larry Krieger'La inseparabilidad del profesionalismo y la satisfacción personal: perspectivas sobre valores, integridad y felicidad, 11 Clinical L.Rev. 4125 (2005) y Tony Foley, Margie Rowe, Vivien Holmes y Stephen Tang 'Enseñar el profesionalismo en la clínica jurídica: lo que los nuevos profesionales dicen que es importante'. IJCLE, volumen 17 de 2012.</w:t>
      </w:r>
    </w:p>
    <w:p w:rsidR="00000000" w:rsidDel="00000000" w:rsidP="00000000" w:rsidRDefault="00000000" w:rsidRPr="00000000" w14:paraId="000000E4">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23 </w:t>
        <w:tab/>
        <w:t xml:space="preserve">Julian Webb, Ser abogado/Ser un ser humano, 5 Ética jurídica 130 2002, Catherine Klein, Leah Wortham y Beryl Blaustone, Autonomía-Dominio-Propósito: estructuración de cursos clínicos para mejorar estos objetivos educativos críticos, 17-18 Int'l J. Educación Jurídica Clínica. 105 2012, Paula Lundstad, Predicar con el ejemplo: crear comunidades de aprendizaje para promover una pedagogía de la justicia, 4 Seattle J. Soc. Justo. 613 2005-2006; Neil Hamilton y Verna Monson, 'El desafío ético de la educación jurídica: investigación empírica sobre cómo fomentar de manera más efectiva la formación profesional (profesionalismo) de cada estudiante' University of St Thomas Law Journal, Vol9:2 2012.</w:t>
      </w:r>
    </w:p>
    <w:p w:rsidR="00000000" w:rsidDel="00000000" w:rsidP="00000000" w:rsidRDefault="00000000" w:rsidRPr="00000000" w14:paraId="000000E5">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24 </w:t>
        <w:tab/>
        <w:t xml:space="preserve">Julian Webb, Ser abogado/Ser un ser humano, 5 Legal Ethics 130 2002, Adrian Evans y Christine Parker, 'Inside Lawyers' Ethics', 2013, Cambridge University Press, Capítulo 2.</w:t>
      </w:r>
    </w:p>
    <w:p w:rsidR="00000000" w:rsidDel="00000000" w:rsidP="00000000" w:rsidRDefault="00000000" w:rsidRPr="00000000" w14:paraId="000000E6">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25 </w:t>
        <w:tab/>
        <w:t xml:space="preserve">Christine Parker y Adrian Evans, 'Inside Lawyers' Ethics', 2ª ed. 2014, Cambridge University Press, p32.</w:t>
      </w:r>
    </w:p>
    <w:p w:rsidR="00000000" w:rsidDel="00000000" w:rsidP="00000000" w:rsidRDefault="00000000" w:rsidRPr="00000000" w14:paraId="000000E7">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10</w:t>
      </w:r>
    </w:p>
    <w:p w:rsidR="00000000" w:rsidDel="00000000" w:rsidP="00000000" w:rsidRDefault="00000000" w:rsidRPr="00000000" w14:paraId="000000E8">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26 </w:t>
        <w:tab/>
        <w:t xml:space="preserve">ibídem 7.</w:t>
      </w:r>
    </w:p>
    <w:p w:rsidR="00000000" w:rsidDel="00000000" w:rsidP="00000000" w:rsidRDefault="00000000" w:rsidRPr="00000000" w14:paraId="000000E9">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27 </w:t>
        <w:tab/>
        <w:t xml:space="preserve">www.kingsfordlegalcentre.org.au</w:t>
      </w:r>
    </w:p>
    <w:p w:rsidR="00000000" w:rsidDel="00000000" w:rsidP="00000000" w:rsidRDefault="00000000" w:rsidRPr="00000000" w14:paraId="000000EA">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11</w:t>
      </w:r>
    </w:p>
    <w:p w:rsidR="00000000" w:rsidDel="00000000" w:rsidP="00000000" w:rsidRDefault="00000000" w:rsidRPr="00000000" w14:paraId="000000EB">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28. </w:t>
      </w:r>
      <w:hyperlink r:id="rId7">
        <w:r w:rsidDel="00000000" w:rsidR="00000000" w:rsidRPr="00000000">
          <w:rPr>
            <w:rFonts w:ascii="Calibri" w:cs="Calibri" w:eastAsia="Calibri" w:hAnsi="Calibri"/>
            <w:color w:val="000000"/>
            <w:sz w:val="22"/>
            <w:szCs w:val="22"/>
            <w:u w:val="single"/>
            <w:rtl w:val="0"/>
          </w:rPr>
          <w:t xml:space="preserve">http://www.handbook.unsw.edu.au/undergraduado/courses/2015/LAWS1230.html</w:t>
        </w:r>
      </w:hyperlink>
      <w:r w:rsidDel="00000000" w:rsidR="00000000" w:rsidRPr="00000000">
        <w:rPr>
          <w:rtl w:val="0"/>
        </w:rPr>
      </w:r>
    </w:p>
    <w:p w:rsidR="00000000" w:rsidDel="00000000" w:rsidP="00000000" w:rsidRDefault="00000000" w:rsidRPr="00000000" w14:paraId="000000EC">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29. </w:t>
      </w:r>
      <w:hyperlink r:id="rId8">
        <w:r w:rsidDel="00000000" w:rsidR="00000000" w:rsidRPr="00000000">
          <w:rPr>
            <w:rFonts w:ascii="Calibri" w:cs="Calibri" w:eastAsia="Calibri" w:hAnsi="Calibri"/>
            <w:color w:val="000000"/>
            <w:sz w:val="22"/>
            <w:szCs w:val="22"/>
            <w:u w:val="single"/>
            <w:rtl w:val="0"/>
          </w:rPr>
          <w:t xml:space="preserve">http://www.handbook.unsw.edu.au/undergraduado/courses/2015/LAWS1230.html</w:t>
        </w:r>
      </w:hyperlink>
      <w:r w:rsidDel="00000000" w:rsidR="00000000" w:rsidRPr="00000000">
        <w:rPr>
          <w:rtl w:val="0"/>
        </w:rPr>
      </w:r>
    </w:p>
    <w:p w:rsidR="00000000" w:rsidDel="00000000" w:rsidP="00000000" w:rsidRDefault="00000000" w:rsidRPr="00000000" w14:paraId="000000ED">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13</w:t>
      </w:r>
    </w:p>
    <w:p w:rsidR="00000000" w:rsidDel="00000000" w:rsidP="00000000" w:rsidRDefault="00000000" w:rsidRPr="00000000" w14:paraId="000000EE">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30. Investigación de la NSW Law and Justice Foundation sobre el impacto de los problemas legales en los clientes desfavorecidos. Coumarelos, C, Macourt, D, People, J, MacDonald, HM, Wei, Z, Iriana, R &amp; Ramsey, S 2012, Legal Australia - Amplia encuesta: necesidad legal en Australia, Fundación Ley y Justicia de Nueva Gales del Sur, Sydney.</w:t>
      </w:r>
    </w:p>
    <w:p w:rsidR="00000000" w:rsidDel="00000000" w:rsidP="00000000" w:rsidRDefault="00000000" w:rsidRPr="00000000" w14:paraId="000000EF">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31 </w:t>
        <w:tab/>
        <w:t xml:space="preserve">Mejores prácticas en educación jurídica clínica australiana, http://www.olt.gov.au/proiect-strengthening-australian-legal-ed-clinical-experiences-monash-2010, Adrian Evans, Anna Cody, Anna Copeland, Jeff Giddings, Mary Anne Noone, Simon Rice. Oficina de Aprendizaje y Enseñanza. 2013.</w:t>
      </w:r>
    </w:p>
    <w:p w:rsidR="00000000" w:rsidDel="00000000" w:rsidP="00000000" w:rsidRDefault="00000000" w:rsidRPr="00000000" w14:paraId="000000F0">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32 </w:t>
        <w:tab/>
        <w:t xml:space="preserve">Informes regionales e informe final Mejores prácticas en la educación jurídica clínica australiana, http://www.olt.gov.au/proiect-strengthening-australian-legal-ed-clinical-experiences-monash-2010 , Adrian Evans, Anna Cody, Anna Copeland, Jeff Giddings, Mary Anne Noone, Simon Rice. Oficina de Aprendizaje y Enseñanza. 2013.</w:t>
      </w:r>
    </w:p>
    <w:p w:rsidR="00000000" w:rsidDel="00000000" w:rsidP="00000000" w:rsidRDefault="00000000" w:rsidRPr="00000000" w14:paraId="000000F1">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1 4</w:t>
      </w:r>
    </w:p>
    <w:p w:rsidR="00000000" w:rsidDel="00000000" w:rsidP="00000000" w:rsidRDefault="00000000" w:rsidRPr="00000000" w14:paraId="000000F2">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33. Históricamente, la enseñanza del derecho ha pasado por muchas permutaciones. Después de la división entre la academia y la práctica profesional, Jerome Frank propuso a principios del siglo XX que el derecho podría enseñarse a través de una facultad de derecho clínica. Algunas facultades de derecho se han modelado como "facultades de derecho clínicas" (la Universidad de Newcastle en Nueva Gales del Sur y la Universidad de Northumbria), pero ésta no es la norma.</w:t>
      </w:r>
    </w:p>
    <w:p w:rsidR="00000000" w:rsidDel="00000000" w:rsidP="00000000" w:rsidRDefault="00000000" w:rsidRPr="00000000" w14:paraId="000000F3">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34 </w:t>
        <w:tab/>
        <w:t xml:space="preserve">Consulte la entrada de la Universidad Latrobe en la página 15 y la entrada de la Universidad de Nueva Gales del Sur en la página 36. Guía de educación jurídica clínica, su guía de cursos ofrecidos por universidades australianas en 2014, Kingsford Legal Centre. 2014.</w:t>
      </w:r>
    </w:p>
    <w:p w:rsidR="00000000" w:rsidDel="00000000" w:rsidP="00000000" w:rsidRDefault="00000000" w:rsidRPr="00000000" w14:paraId="000000F4">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http://www.klc.unsw.edu.au/sites/klc.unsw.edu.au/files/55386_clinical_legal_education_guide_web.pdf</w:t>
      </w:r>
    </w:p>
    <w:p w:rsidR="00000000" w:rsidDel="00000000" w:rsidP="00000000" w:rsidRDefault="00000000" w:rsidRPr="00000000" w14:paraId="000000F5">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35 </w:t>
        <w:tab/>
        <w:t xml:space="preserve">Leah Wortham, entrevista con el autor, diciembre de 2014 y Leah Wortham, Gracias por el libro y la película, 10 Clin. L. Rev. 399 (2003) (presentación invitada al simposio en honor al 25º aniversario de la publicación de Gary Bellow &amp; Bea Moulton, The Lawyering Process (1978)).</w:t>
      </w:r>
    </w:p>
    <w:p w:rsidR="00000000" w:rsidDel="00000000" w:rsidP="00000000" w:rsidRDefault="00000000" w:rsidRPr="00000000" w14:paraId="000000F6">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36 </w:t>
        <w:tab/>
        <w:t xml:space="preserve">Guía de educación jurídica clínica, su guía de cursos ofrecidos por universidades australianas en 2014, Kingsford Legal Centre. 2014.</w:t>
      </w:r>
    </w:p>
    <w:p w:rsidR="00000000" w:rsidDel="00000000" w:rsidP="00000000" w:rsidRDefault="00000000" w:rsidRPr="00000000" w14:paraId="000000F7">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http://www.klc.unsw.edu.au/sites/klc.unsw.edu.au/files/55386_clinical_legal_education_guide_web.pdf</w:t>
      </w:r>
    </w:p>
    <w:p w:rsidR="00000000" w:rsidDel="00000000" w:rsidP="00000000" w:rsidRDefault="00000000" w:rsidRPr="00000000" w14:paraId="000000F8">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37 </w:t>
        <w:tab/>
        <w:t xml:space="preserve">El curso impartido por la Universidad Latrobe se centra en la responsabilidad profesional y se ha impartido en una variedad de servicios jurídicos, incluidos el servicio jurídico comunitario de West Heidelberg y Preston Legal Aid, entre otros. Mejores prácticas de educación jurídica clínica australiana, Informe regional Victoria y Tasmania 2011, página 5. http://law.monash.edu.au/about-us/legal/olt-proiect/regional-reports/index.html Guía de educación jurídica clínica, Su guía de cursos ofrecidos por universidades australianas en 2014, Kingsford Legal Centre. 2014.página 16.http://www.klc.unsw.edu.au/sites/klc.unsw.edu.au/files/55386_clinical_legal_education_guide_web.pdf</w:t>
      </w:r>
    </w:p>
    <w:p w:rsidR="00000000" w:rsidDel="00000000" w:rsidP="00000000" w:rsidRDefault="00000000" w:rsidRPr="00000000" w14:paraId="000000F9">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17</w:t>
      </w:r>
    </w:p>
    <w:p w:rsidR="00000000" w:rsidDel="00000000" w:rsidP="00000000" w:rsidRDefault="00000000" w:rsidRPr="00000000" w14:paraId="000000FA">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38 </w:t>
        <w:tab/>
        <w:t xml:space="preserve">Jane Aitken, 'Provocadores por la justicia', 7Clin.L.Rev. 287 en la página 292.</w:t>
      </w:r>
    </w:p>
    <w:p w:rsidR="00000000" w:rsidDel="00000000" w:rsidP="00000000" w:rsidRDefault="00000000" w:rsidRPr="00000000" w14:paraId="000000FB">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39 </w:t>
        <w:tab/>
        <w:t xml:space="preserve">Algunos han argumentado que una clínica no es el mejor lugar para enseñar ética porque las formas en que surgen las cuestiones éticas son impredecibles, lo que significa que los estudiantes tendrán diferentes experiencias de cuestiones éticas y una variedad de cuestiones diferentes. A pesar de esto, las cuestiones éticas se pueden compartir y el aprendizaje se puede difundir entre un grupo de estudiantes a través de debates en clase, presentaciones en clase y sesiones informativas grupales. Margaret Martin Barry y Peter A.</w:t>
      </w:r>
    </w:p>
    <w:p w:rsidR="00000000" w:rsidDel="00000000" w:rsidP="00000000" w:rsidRDefault="00000000" w:rsidRPr="00000000" w14:paraId="000000FC">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Joy, 'Educación clínica para este milenio: la tercera ola', 7 Clinical L. Rev. 1 2000-2001</w:t>
      </w:r>
    </w:p>
    <w:p w:rsidR="00000000" w:rsidDel="00000000" w:rsidP="00000000" w:rsidRDefault="00000000" w:rsidRPr="00000000" w14:paraId="000000FD">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40 </w:t>
        <w:tab/>
        <w:t xml:space="preserve">Margaret Martin Barry y Peter A. Joy, 'Educación clínica para este milenio: la tercera ola', 7Clinical L. Rev. 1 2000-2001</w:t>
      </w:r>
    </w:p>
    <w:p w:rsidR="00000000" w:rsidDel="00000000" w:rsidP="00000000" w:rsidRDefault="00000000" w:rsidRPr="00000000" w14:paraId="000000FE">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41 </w:t>
        <w:tab/>
        <w:t xml:space="preserve">Antoinette Sedillo López, Impartición de un curso de responsabilidad profesional: lecciones aprendidas de la clínica, 26 J. Legal Prof. 149 2002.</w:t>
      </w:r>
    </w:p>
    <w:p w:rsidR="00000000" w:rsidDel="00000000" w:rsidP="00000000" w:rsidRDefault="00000000" w:rsidRPr="00000000" w14:paraId="000000FF">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16</w:t>
      </w:r>
    </w:p>
    <w:p w:rsidR="00000000" w:rsidDel="00000000" w:rsidP="00000000" w:rsidRDefault="00000000" w:rsidRPr="00000000" w14:paraId="00000100">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42 Mary Anne Noone, Judith Dickson y Liz Curran, '¿Empujar los límites o preservar el status quo? Diseño de programas clínicos para enseñar a los estudiantes de derecho una comprensión profunda de la práctica ética' (2005) 8 Revista internacional de educación jurídica clínica 104, 111.</w:t>
      </w:r>
    </w:p>
    <w:p w:rsidR="00000000" w:rsidDel="00000000" w:rsidP="00000000" w:rsidRDefault="00000000" w:rsidRPr="00000000" w14:paraId="00000101">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43Parker, S 2001, 'Por qué los abogados deberían hacer trabajo pro bono' 19 (1 y 2) Ley y contexto.</w:t>
      </w:r>
    </w:p>
    <w:p w:rsidR="00000000" w:rsidDel="00000000" w:rsidP="00000000" w:rsidRDefault="00000000" w:rsidRPr="00000000" w14:paraId="00000102">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44 Liz Curran (2004) 'Iniciativas de reforma legal receptivas realizadas por estudiantes en colocación clínica en La Trobe Law' 7 (2) Flinders Journal of Law Reform 287.</w:t>
      </w:r>
    </w:p>
    <w:p w:rsidR="00000000" w:rsidDel="00000000" w:rsidP="00000000" w:rsidRDefault="00000000" w:rsidRPr="00000000" w14:paraId="00000103">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17</w:t>
      </w:r>
    </w:p>
    <w:p w:rsidR="00000000" w:rsidDel="00000000" w:rsidP="00000000" w:rsidRDefault="00000000" w:rsidRPr="00000000" w14:paraId="00000104">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45. Parker y Evans identifican el modelo de 'abogado responsable' que es un funcionario de la Corte y que se preocupa por hacer que el sistema legal funcione sin problemas y de manera justa. Tabla 2.2 Capítulo 2, Adrian Evans y Christine Parker, Inside Lawyers Ethics, 2.ª ed., Melbourne, Cambridge University Press 2013.</w:t>
      </w:r>
    </w:p>
    <w:p w:rsidR="00000000" w:rsidDel="00000000" w:rsidP="00000000" w:rsidRDefault="00000000" w:rsidRPr="00000000" w14:paraId="00000105">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46 </w:t>
        <w:tab/>
        <w:t xml:space="preserve">Kevin Kerrigan, '¿Cómo te sientes acerca de este cliente?'- Un comentario sobre el modelo clínico como vehículo para enseñar ética a estudiantes de derecho. 2007 Int'l J Clinical Legal Educ 7 2007, p16.</w:t>
      </w:r>
    </w:p>
    <w:p w:rsidR="00000000" w:rsidDel="00000000" w:rsidP="00000000" w:rsidRDefault="00000000" w:rsidRPr="00000000" w14:paraId="00000106">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47 </w:t>
        <w:tab/>
        <w:t xml:space="preserve">Otros cursos australianos que incluyen un componente clínico en Australia son los cursos de derecho de familia y resolución de disputas desarrollados por la Universidad Charles Darwin en el Territorio del Norte. Este componente clínico involucra a estudiantes que estudian en Darwin el componente teórico de Derecho de familia o resolución de disputas durante un período de 10 semanas, y luego viajan más de 5000 km al sur para trabajar durante 2 semanas en un centro legal comunitario en</w:t>
      </w:r>
    </w:p>
    <w:p w:rsidR="00000000" w:rsidDel="00000000" w:rsidP="00000000" w:rsidRDefault="00000000" w:rsidRPr="00000000" w14:paraId="00000107">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18</w:t>
      </w:r>
    </w:p>
    <w:p w:rsidR="00000000" w:rsidDel="00000000" w:rsidP="00000000" w:rsidRDefault="00000000" w:rsidRPr="00000000" w14:paraId="00000108">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Northern Victoria que se especializa en derecho de familia. El otro curso en Australia, como se analiza en el proyecto de investigación de Mejores Prácticas, es el componente de tutoría judicial de LaTrobe, que es un componente de Familia, Sociedad y Derecho; y Procedimiento Penal y Prueba. www.OLTC Informes regionales, Territorio del Norte y Victoria y Tasmania.</w:t>
      </w:r>
    </w:p>
    <w:p w:rsidR="00000000" w:rsidDel="00000000" w:rsidP="00000000" w:rsidRDefault="00000000" w:rsidRPr="00000000" w14:paraId="00000109">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21</w:t>
      </w:r>
    </w:p>
    <w:p w:rsidR="00000000" w:rsidDel="00000000" w:rsidP="00000000" w:rsidRDefault="00000000" w:rsidRPr="00000000" w14:paraId="0000010A">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48 </w:t>
        <w:tab/>
        <w:t xml:space="preserve">En la UNSW, los estudiantes son calificados por su participación en clase, incluida la preparación para la clase, la capacidad para identificar problemas y contribuir a la discusión, entre otros criterios.</w:t>
      </w:r>
    </w:p>
    <w:p w:rsidR="00000000" w:rsidDel="00000000" w:rsidP="00000000" w:rsidRDefault="00000000" w:rsidRPr="00000000" w14:paraId="0000010B">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49 </w:t>
        <w:tab/>
        <w:t xml:space="preserve">Alex Steel, Julian Laurens y Anna Huggins, 'La participación en clase como estrategia de aprendizaje y evaluación en derecho: facilitar la participación de los estudiantes, el desarrollo de habilidades y el aprendizaje profundo' (2012) 36(1) UNSW Law Journal 30</w:t>
      </w:r>
    </w:p>
    <w:p w:rsidR="00000000" w:rsidDel="00000000" w:rsidP="00000000" w:rsidRDefault="00000000" w:rsidRPr="00000000" w14:paraId="0000010C">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23</w:t>
      </w:r>
    </w:p>
    <w:p w:rsidR="00000000" w:rsidDel="00000000" w:rsidP="00000000" w:rsidRDefault="00000000" w:rsidRPr="00000000" w14:paraId="0000010D">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50 </w:t>
        <w:tab/>
        <w:t xml:space="preserve">Margaret Martin Barry y Peter A. Joy, 'Educación clínica para este milenio: la tercera ola', 7 Clinical L. Rev. 1 2000-2001.</w:t>
      </w:r>
    </w:p>
    <w:p w:rsidR="00000000" w:rsidDel="00000000" w:rsidP="00000000" w:rsidRDefault="00000000" w:rsidRPr="00000000" w14:paraId="0000010E">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51 </w:t>
        <w:tab/>
        <w:t xml:space="preserve">Leah Wortham, Catherine Klein y Beryl Blaustone, Autonomía-Dominio-Propósito: Estructuración de cursos clínicos para mejorar estos objetivos educativos críticos. 17-18 Int'l J. Educación Legal Clínica. 105 2012, p. 113, citando a Ryan y Deci, Teoría de la autodeterminación y facilitación de la motivación intrínseca, el desarrollo social y el bienestar, 55 Am. Psicoanalizar. 68 68 (2000) Rev.</w:t>
      </w:r>
    </w:p>
    <w:p w:rsidR="00000000" w:rsidDel="00000000" w:rsidP="00000000" w:rsidRDefault="00000000" w:rsidRPr="00000000" w14:paraId="0000010F">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25</w:t>
      </w:r>
    </w:p>
    <w:p w:rsidR="00000000" w:rsidDel="00000000" w:rsidP="00000000" w:rsidRDefault="00000000" w:rsidRPr="00000000" w14:paraId="00000110">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52 </w:t>
        <w:tab/>
        <w:t xml:space="preserve">Peter Joy, La ética de los estudiantes de la clínica de la Facultad de Derecho como estudiantes-abogados, 45 South Texas L.Rev815 en 839</w:t>
      </w:r>
    </w:p>
    <w:p w:rsidR="00000000" w:rsidDel="00000000" w:rsidP="00000000" w:rsidRDefault="00000000" w:rsidRPr="00000000" w14:paraId="00000111">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53 </w:t>
        <w:tab/>
        <w:t xml:space="preserve">No hay evidencia empírica de la capacidad de los estudiantes para reflexionar; sin embargo, el componente clínico ha estado vigente durante más de 14 años y se han presentado para evaluación una gran cantidad de tareas de reflexión que demuestran capacidad reflexiva.</w:t>
      </w:r>
    </w:p>
    <w:p w:rsidR="00000000" w:rsidDel="00000000" w:rsidP="00000000" w:rsidRDefault="00000000" w:rsidRPr="00000000" w14:paraId="00000112">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26</w:t>
      </w:r>
    </w:p>
    <w:p w:rsidR="00000000" w:rsidDel="00000000" w:rsidP="00000000" w:rsidRDefault="00000000" w:rsidRPr="00000000" w14:paraId="00000113">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54 Mejores prácticas en educación jurídica clínica australiana, http://www.olt.gov.au/proiect-strengthening-australian-legal-ed-clinical-experiences-monash-2010, Adrian Evans, Anna Cody, Anna Copeland, Jeff Giddings, Mary Anne Noone, Simon Rice. Oficina de Aprendizaje y Enseñanza, 2013. p 58.</w:t>
      </w:r>
    </w:p>
    <w:p w:rsidR="00000000" w:rsidDel="00000000" w:rsidP="00000000" w:rsidRDefault="00000000" w:rsidRPr="00000000" w14:paraId="00000114">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55 Lustbader, Predicar con el ejemplo: crear comunidades de aprendizaje para promover una pedagogía de la justicia 4 Seattle J Soc Just 613, 628.</w:t>
      </w:r>
    </w:p>
    <w:p w:rsidR="00000000" w:rsidDel="00000000" w:rsidP="00000000" w:rsidRDefault="00000000" w:rsidRPr="00000000" w14:paraId="00000115">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27</w:t>
      </w:r>
    </w:p>
    <w:p w:rsidR="00000000" w:rsidDel="00000000" w:rsidP="00000000" w:rsidRDefault="00000000" w:rsidRPr="00000000" w14:paraId="00000116">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56Tony Foley, Margie Rowe, Vivien Holmes y Stephen Tang "Enseñar el profesionalismo en la clínica jurídica: lo que los nuevos profesionales dicen que es importante" Revista Internacional de Educación Jurídica Clínica, vol. 17, 2012, 26.</w:t>
      </w:r>
    </w:p>
    <w:p w:rsidR="00000000" w:rsidDel="00000000" w:rsidP="00000000" w:rsidRDefault="00000000" w:rsidRPr="00000000" w14:paraId="00000117">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28</w:t>
      </w:r>
    </w:p>
    <w:p w:rsidR="00000000" w:rsidDel="00000000" w:rsidP="00000000" w:rsidRDefault="00000000" w:rsidRPr="00000000" w14:paraId="00000118">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57 Mejores prácticas en educación jurídica clínica australiana, http://www.olt.gov.au/proiect-strengthening-</w:t>
      </w:r>
    </w:p>
    <w:p w:rsidR="00000000" w:rsidDel="00000000" w:rsidP="00000000" w:rsidRDefault="00000000" w:rsidRPr="00000000" w14:paraId="00000119">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experiencias-clínicas-de-educación-legal-australiana-monash-2010, Adrian Evans, Anna Cody, Anna Copeland, Jeff Giddings,</w:t>
      </w:r>
    </w:p>
    <w:p w:rsidR="00000000" w:rsidDel="00000000" w:rsidP="00000000" w:rsidRDefault="00000000" w:rsidRPr="00000000" w14:paraId="0000011A">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Mary Anne Noone, Simón Rice. Oficina de Aprendizaje y Enseñanza, 2013. P59.</w:t>
      </w:r>
    </w:p>
    <w:p w:rsidR="00000000" w:rsidDel="00000000" w:rsidP="00000000" w:rsidRDefault="00000000" w:rsidRPr="00000000" w14:paraId="0000011B">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29</w:t>
      </w:r>
    </w:p>
    <w:p w:rsidR="00000000" w:rsidDel="00000000" w:rsidP="00000000" w:rsidRDefault="00000000" w:rsidRPr="00000000" w14:paraId="0000011C">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58 La evaluación formal, utilizando criterios publicados, se combina con retroalimentación informal entregada cuando se presenta la oportunidad o la necesidad lo requiere', Best Practices in Australian Clinical legal education, http://www.olt.gov.au/proiect-strengthening-australian- experiencias-clínicas-de-educación-legal-monash-2010, Adrian Evans, Anna Cody, Anna Copeland, Jeff Giddings, Mary Anne Noone, Simon Rice. Oficina de Aprendizaje y Enseñanza, 2013.</w:t>
      </w:r>
    </w:p>
    <w:p w:rsidR="00000000" w:rsidDel="00000000" w:rsidP="00000000" w:rsidRDefault="00000000" w:rsidRPr="00000000" w14:paraId="0000011D">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59 </w:t>
        <w:tab/>
        <w:t xml:space="preserve">La rúbrica informa a los estudiantes que se evalúa su identificación de cuestiones éticas, su capacidad para aplicar marcos éticos a situaciones de la vida real, su reflexión sobre la experiencia, su identificación de una buena técnica de entrevista y su capacidad para incorporar la teoría de las lecturas a la reflexión sobre la experiencia práctica.</w:t>
      </w:r>
    </w:p>
    <w:p w:rsidR="00000000" w:rsidDel="00000000" w:rsidP="00000000" w:rsidRDefault="00000000" w:rsidRPr="00000000" w14:paraId="0000011E">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60 </w:t>
        <w:tab/>
        <w:t xml:space="preserve">Estas son lecturas asignadas para la clase formal sobre entrevistas, incluidas Kay Lauchland, Capítulo 3, 'La importancia de la buena comunicación', Legal Interviewing: Theory, Tactics and Techniques, KA Lauchland y MJ Le Brun, Butterworths Australia, 1996; Capítulo 2, 'Entrevistar, escuchar y cuestionar', Ross Hyams, Susan Campbell, Adrian Evans, Habilidades jurídicas prácticas: desarrollo de una nueva técnica clínica, 4.ª ed., Oxford University Press, Australia y Nueva Zelanda 2014.</w:t>
      </w:r>
    </w:p>
    <w:p w:rsidR="00000000" w:rsidDel="00000000" w:rsidP="00000000" w:rsidRDefault="00000000" w:rsidRPr="00000000" w14:paraId="0000011F">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61 Stuckey y otros, Mejores prácticas para la educación jurídica, una visión y una hoja de ruta, Asociación de Educación Jurídica Clínica, 2007.</w:t>
      </w:r>
    </w:p>
    <w:p w:rsidR="00000000" w:rsidDel="00000000" w:rsidP="00000000" w:rsidRDefault="00000000" w:rsidRPr="00000000" w14:paraId="00000120">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30</w:t>
      </w:r>
    </w:p>
    <w:p w:rsidR="00000000" w:rsidDel="00000000" w:rsidP="00000000" w:rsidRDefault="00000000" w:rsidRPr="00000000" w14:paraId="00000121">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62 </w:t>
        <w:tab/>
        <w:t xml:space="preserve">Cada año hay una cena anual para agradecer a los abogados voluntarios en el Kingsford Legal Centre, en la que muchos de los abogados voluntarios ofrecen sus observaciones sobre el sentido de valor y placer que obtienen al supervisar a los estudiantes de derecho.</w:t>
      </w:r>
    </w:p>
    <w:p w:rsidR="00000000" w:rsidDel="00000000" w:rsidP="00000000" w:rsidRDefault="00000000" w:rsidRPr="00000000" w14:paraId="00000122">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31</w:t>
      </w:r>
    </w:p>
    <w:p w:rsidR="00000000" w:rsidDel="00000000" w:rsidP="00000000" w:rsidRDefault="00000000" w:rsidRPr="00000000" w14:paraId="00000123">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63 Mejores prácticas en educación jurídica clínica australiana, http://www.olt.gov.au/proiect-strengthening-australian-</w:t>
      </w:r>
    </w:p>
    <w:p w:rsidR="00000000" w:rsidDel="00000000" w:rsidP="00000000" w:rsidRDefault="00000000" w:rsidRPr="00000000" w14:paraId="00000124">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experiencias-clínicas-de-educación-legal-monash-2010, Adrian Evans, Anna Cody, Anna Copeland, Jeff Giddings, Mary</w:t>
      </w:r>
    </w:p>
    <w:p w:rsidR="00000000" w:rsidDel="00000000" w:rsidP="00000000" w:rsidRDefault="00000000" w:rsidRPr="00000000" w14:paraId="00000125">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Anne Noone, Simón Rice. Oficina de Aprendizaje y Enseñanza, 2013. P56.</w:t>
      </w:r>
    </w:p>
    <w:p w:rsidR="00000000" w:rsidDel="00000000" w:rsidP="00000000" w:rsidRDefault="00000000" w:rsidRPr="00000000" w14:paraId="00000126">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32</w:t>
      </w:r>
    </w:p>
    <w:p w:rsidR="00000000" w:rsidDel="00000000" w:rsidP="00000000" w:rsidRDefault="00000000" w:rsidRPr="00000000" w14:paraId="00000127">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64 Simon Rice, (1996), Guía para implementar el método de enseñanza clínica en el plan de estudios de la Facultad de Derecho; Jeff Giddings, Educación jurídica clínica en Australia: una perspectiva histórica, 3 Int'l J. Educación jurídica clínica. 7 de 2003; Catherine Klein, Leah Wortham y Beryl Blaustone, Autonomía-Dominio-Propósito: Estructuración de cursos clínicos para mejorar estos objetivos educativos críticos, 17-18 Int'l J. Clinical Legal Educ. 105 2012</w:t>
      </w:r>
    </w:p>
    <w:p w:rsidR="00000000" w:rsidDel="00000000" w:rsidP="00000000" w:rsidRDefault="00000000" w:rsidRPr="00000000" w14:paraId="00000128">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33</w:t>
      </w:r>
    </w:p>
    <w:p w:rsidR="00000000" w:rsidDel="00000000" w:rsidP="00000000" w:rsidRDefault="00000000" w:rsidRPr="00000000" w14:paraId="00000129">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65 Mejores prácticas en educación jurídica clínica australiana, http://www.olt.gov.au/proiect-strengthening-</w:t>
      </w:r>
    </w:p>
    <w:p w:rsidR="00000000" w:rsidDel="00000000" w:rsidP="00000000" w:rsidRDefault="00000000" w:rsidRPr="00000000" w14:paraId="0000012A">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experiencias-clínicas-de-educación-legal-australiana-monash-2010, Adrian Evans, Anna Cody, Anna Copeland, Jeff Giddings,</w:t>
      </w:r>
    </w:p>
    <w:p w:rsidR="00000000" w:rsidDel="00000000" w:rsidP="00000000" w:rsidRDefault="00000000" w:rsidRPr="00000000" w14:paraId="0000012B">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Mary Anne Noone, Simón Rice. Oficina de Aprendizaje y Enseñanza, 2013, p.57.</w:t>
      </w:r>
    </w:p>
    <w:p w:rsidR="00000000" w:rsidDel="00000000" w:rsidP="00000000" w:rsidRDefault="00000000" w:rsidRPr="00000000" w14:paraId="0000012C">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Pie de página 34</w:t>
      </w:r>
    </w:p>
    <w:p w:rsidR="00000000" w:rsidDel="00000000" w:rsidP="00000000" w:rsidRDefault="00000000" w:rsidRPr="00000000" w14:paraId="0000012D">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66 </w:t>
        <w:tab/>
        <w:t xml:space="preserve">Margaret Martin Barry y Peter A. Joy, 'Educación clínica para este milenio: la tercera ola', 7Clinical L. Rev. 1 2000-2001</w:t>
      </w:r>
    </w:p>
    <w:p w:rsidR="00000000" w:rsidDel="00000000" w:rsidP="00000000" w:rsidRDefault="00000000" w:rsidRPr="00000000" w14:paraId="0000012E">
      <w:pPr>
        <w:spacing w:line="360" w:lineRule="auto"/>
        <w:jc w:val="both"/>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67 </w:t>
        <w:tab/>
        <w:t xml:space="preserve">Margaret Martin Barry y Peter A. Joy, 'Educación clínica para este milenio: la tercera ola', 7Clinical L. Rev. 1 2000-2001, p44.</w:t>
      </w:r>
    </w:p>
    <w:p w:rsidR="00000000" w:rsidDel="00000000" w:rsidP="00000000" w:rsidRDefault="00000000" w:rsidRPr="00000000" w14:paraId="0000012F">
      <w:pPr>
        <w:spacing w:line="360" w:lineRule="auto"/>
        <w:jc w:val="both"/>
        <w:rPr>
          <w:rFonts w:ascii="Calibri" w:cs="Calibri" w:eastAsia="Calibri" w:hAnsi="Calibri"/>
          <w:color w:val="000000"/>
          <w:sz w:val="22"/>
          <w:szCs w:val="22"/>
        </w:rPr>
      </w:pPr>
      <w:r w:rsidDel="00000000" w:rsidR="00000000" w:rsidRPr="00000000">
        <w:rPr>
          <w:rtl w:val="0"/>
        </w:rPr>
      </w:r>
    </w:p>
    <w:sectPr>
      <w:pgSz w:h="16840" w:w="11900" w:orient="portrait"/>
      <w:pgMar w:bottom="1440" w:top="1440" w:left="1080" w:right="1080" w:header="0" w:footer="3"/>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evenAndOddHeaders w:val="1"/>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Helvetica Neue" w:cs="Helvetica Neue" w:eastAsia="Helvetica Neue" w:hAnsi="Helvetica Neue"/>
        <w:sz w:val="24"/>
        <w:szCs w:val="24"/>
        <w:lang w:val="es-PE"/>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rPr>
      <w:color w:val="00000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Hipervnculo">
    <w:name w:val="Hyperlink"/>
    <w:basedOn w:val="Fuentedeprrafopredeter"/>
    <w:rPr>
      <w:color w:val="0066cc"/>
      <w:u w:val="single"/>
    </w:rPr>
  </w:style>
  <w:style w:type="character" w:styleId="Cuerpodeltexto3" w:customStyle="1">
    <w:name w:val="Cuerpo del texto (3)_"/>
    <w:basedOn w:val="Fuentedeprrafopredeter"/>
    <w:link w:val="Cuerpodeltexto30"/>
    <w:rPr>
      <w:rFonts w:ascii="Book Antiqua" w:cs="Book Antiqua" w:eastAsia="Book Antiqua" w:hAnsi="Book Antiqua"/>
      <w:b w:val="1"/>
      <w:bCs w:val="1"/>
      <w:i w:val="1"/>
      <w:iCs w:val="1"/>
      <w:smallCaps w:val="0"/>
      <w:strike w:val="0"/>
      <w:u w:val="none"/>
    </w:rPr>
  </w:style>
  <w:style w:type="character" w:styleId="Ttulo1" w:customStyle="1">
    <w:name w:val="Título #1_"/>
    <w:basedOn w:val="Fuentedeprrafopredeter"/>
    <w:link w:val="Ttulo10"/>
    <w:rPr>
      <w:rFonts w:ascii="Book Antiqua" w:cs="Book Antiqua" w:eastAsia="Book Antiqua" w:hAnsi="Book Antiqua"/>
      <w:b w:val="1"/>
      <w:bCs w:val="1"/>
      <w:i w:val="0"/>
      <w:iCs w:val="0"/>
      <w:smallCaps w:val="0"/>
      <w:strike w:val="0"/>
      <w:sz w:val="28"/>
      <w:szCs w:val="28"/>
      <w:u w:val="none"/>
    </w:rPr>
  </w:style>
  <w:style w:type="character" w:styleId="Ttulo2" w:customStyle="1">
    <w:name w:val="Título #2_"/>
    <w:basedOn w:val="Fuentedeprrafopredeter"/>
    <w:link w:val="Ttulo20"/>
    <w:rPr>
      <w:rFonts w:ascii="Book Antiqua" w:cs="Book Antiqua" w:eastAsia="Book Antiqua" w:hAnsi="Book Antiqua"/>
      <w:b w:val="1"/>
      <w:bCs w:val="1"/>
      <w:i w:val="0"/>
      <w:iCs w:val="0"/>
      <w:smallCaps w:val="0"/>
      <w:strike w:val="0"/>
      <w:u w:val="none"/>
    </w:rPr>
  </w:style>
  <w:style w:type="character" w:styleId="Ttulo21" w:customStyle="1">
    <w:name w:val="Título #2"/>
    <w:basedOn w:val="Ttulo2"/>
    <w:rPr>
      <w:rFonts w:ascii="Book Antiqua" w:cs="Book Antiqua" w:eastAsia="Book Antiqua" w:hAnsi="Book Antiqua"/>
      <w:b w:val="1"/>
      <w:bCs w:val="1"/>
      <w:i w:val="0"/>
      <w:iCs w:val="0"/>
      <w:smallCaps w:val="0"/>
      <w:strike w:val="0"/>
      <w:color w:val="000000"/>
      <w:spacing w:val="0"/>
      <w:w w:val="100"/>
      <w:position w:val="0"/>
      <w:sz w:val="24"/>
      <w:szCs w:val="24"/>
      <w:u w:val="single"/>
      <w:lang w:bidi="en-US" w:eastAsia="en-US" w:val="es"/>
    </w:rPr>
  </w:style>
  <w:style w:type="character" w:styleId="Cuerpodeltexto2" w:customStyle="1">
    <w:name w:val="Cuerpo del texto (2)_"/>
    <w:basedOn w:val="Fuentedeprrafopredeter"/>
    <w:link w:val="Cuerpodeltexto20"/>
    <w:rPr>
      <w:rFonts w:ascii="Book Antiqua" w:cs="Book Antiqua" w:eastAsia="Book Antiqua" w:hAnsi="Book Antiqua"/>
      <w:b w:val="0"/>
      <w:bCs w:val="0"/>
      <w:i w:val="0"/>
      <w:iCs w:val="0"/>
      <w:smallCaps w:val="0"/>
      <w:strike w:val="0"/>
      <w:sz w:val="24"/>
      <w:szCs w:val="24"/>
      <w:u w:val="none"/>
    </w:rPr>
  </w:style>
  <w:style w:type="character" w:styleId="Notaalpie" w:customStyle="1">
    <w:name w:val="Nota al pie_"/>
    <w:basedOn w:val="Fuentedeprrafopredeter"/>
    <w:link w:val="Notaalpie0"/>
    <w:rPr>
      <w:rFonts w:ascii="Calibri" w:cs="Calibri" w:eastAsia="Calibri" w:hAnsi="Calibri"/>
      <w:b w:val="0"/>
      <w:bCs w:val="0"/>
      <w:i w:val="0"/>
      <w:iCs w:val="0"/>
      <w:smallCaps w:val="0"/>
      <w:strike w:val="0"/>
      <w:sz w:val="20"/>
      <w:szCs w:val="20"/>
      <w:u w:val="none"/>
    </w:rPr>
  </w:style>
  <w:style w:type="character" w:styleId="Encabezamientoopiedepgina" w:customStyle="1">
    <w:name w:val="Encabezamiento o pie de página_"/>
    <w:basedOn w:val="Fuentedeprrafopredeter"/>
    <w:link w:val="Encabezamientoopiedepgina0"/>
    <w:rPr>
      <w:rFonts w:ascii="Calibri" w:cs="Calibri" w:eastAsia="Calibri" w:hAnsi="Calibri"/>
      <w:b w:val="0"/>
      <w:bCs w:val="0"/>
      <w:i w:val="0"/>
      <w:iCs w:val="0"/>
      <w:smallCaps w:val="0"/>
      <w:strike w:val="0"/>
      <w:sz w:val="19"/>
      <w:szCs w:val="19"/>
      <w:u w:val="none"/>
    </w:rPr>
  </w:style>
  <w:style w:type="character" w:styleId="Notaalpie1" w:customStyle="1">
    <w:name w:val="Nota al pie"/>
    <w:basedOn w:val="Notaalpie"/>
    <w:rPr>
      <w:rFonts w:ascii="Calibri" w:cs="Calibri" w:eastAsia="Calibri" w:hAnsi="Calibri"/>
      <w:b w:val="0"/>
      <w:bCs w:val="0"/>
      <w:i w:val="0"/>
      <w:iCs w:val="0"/>
      <w:smallCaps w:val="0"/>
      <w:strike w:val="0"/>
      <w:color w:val="000000"/>
      <w:spacing w:val="0"/>
      <w:w w:val="100"/>
      <w:position w:val="0"/>
      <w:sz w:val="20"/>
      <w:szCs w:val="20"/>
      <w:u w:val="single"/>
      <w:lang w:bidi="en-US" w:eastAsia="en-US" w:val="es"/>
    </w:rPr>
  </w:style>
  <w:style w:type="character" w:styleId="NotaalpieCursiva" w:customStyle="1">
    <w:name w:val="Nota al pie + Cursiva"/>
    <w:basedOn w:val="Notaalpie"/>
    <w:rPr>
      <w:rFonts w:ascii="Calibri" w:cs="Calibri" w:eastAsia="Calibri" w:hAnsi="Calibri"/>
      <w:b w:val="0"/>
      <w:bCs w:val="0"/>
      <w:i w:val="1"/>
      <w:iCs w:val="1"/>
      <w:smallCaps w:val="0"/>
      <w:strike w:val="0"/>
      <w:color w:val="000000"/>
      <w:spacing w:val="0"/>
      <w:w w:val="100"/>
      <w:position w:val="0"/>
      <w:sz w:val="20"/>
      <w:szCs w:val="20"/>
      <w:u w:val="none"/>
      <w:lang w:bidi="es-ES" w:eastAsia="es-ES" w:val="es"/>
    </w:rPr>
  </w:style>
  <w:style w:type="character" w:styleId="Notaalpie2" w:customStyle="1">
    <w:name w:val="Nota al pie (2)_"/>
    <w:basedOn w:val="Fuentedeprrafopredeter"/>
    <w:link w:val="Notaalpie20"/>
    <w:rPr>
      <w:rFonts w:ascii="Book Antiqua" w:cs="Book Antiqua" w:eastAsia="Book Antiqua" w:hAnsi="Book Antiqua"/>
      <w:b w:val="0"/>
      <w:bCs w:val="0"/>
      <w:i w:val="0"/>
      <w:iCs w:val="0"/>
      <w:smallCaps w:val="0"/>
      <w:strike w:val="0"/>
      <w:sz w:val="12"/>
      <w:szCs w:val="12"/>
      <w:u w:val="none"/>
    </w:rPr>
  </w:style>
  <w:style w:type="character" w:styleId="Cuerpodeltexto2Cursiva" w:customStyle="1">
    <w:name w:val="Cuerpo del texto (2) + Cursiva"/>
    <w:basedOn w:val="Cuerpodeltexto2"/>
    <w:rPr>
      <w:rFonts w:ascii="Book Antiqua" w:cs="Book Antiqua" w:eastAsia="Book Antiqua" w:hAnsi="Book Antiqua"/>
      <w:b w:val="0"/>
      <w:bCs w:val="0"/>
      <w:i w:val="1"/>
      <w:iCs w:val="1"/>
      <w:smallCaps w:val="0"/>
      <w:strike w:val="0"/>
      <w:color w:val="000000"/>
      <w:spacing w:val="0"/>
      <w:w w:val="100"/>
      <w:position w:val="0"/>
      <w:sz w:val="24"/>
      <w:szCs w:val="24"/>
      <w:u w:val="none"/>
      <w:lang w:bidi="es-ES" w:eastAsia="es-ES" w:val="es"/>
    </w:rPr>
  </w:style>
  <w:style w:type="character" w:styleId="Cuerpodeltexto4" w:customStyle="1">
    <w:name w:val="Cuerpo del texto (4)_"/>
    <w:basedOn w:val="Fuentedeprrafopredeter"/>
    <w:link w:val="Cuerpodeltexto40"/>
    <w:rPr>
      <w:rFonts w:ascii="Calibri" w:cs="Calibri" w:eastAsia="Calibri" w:hAnsi="Calibri"/>
      <w:b w:val="0"/>
      <w:bCs w:val="0"/>
      <w:i w:val="0"/>
      <w:iCs w:val="0"/>
      <w:smallCaps w:val="0"/>
      <w:strike w:val="0"/>
      <w:sz w:val="20"/>
      <w:szCs w:val="20"/>
      <w:u w:val="none"/>
    </w:rPr>
  </w:style>
  <w:style w:type="character" w:styleId="Notaalpie3" w:customStyle="1">
    <w:name w:val="Nota al pie"/>
    <w:basedOn w:val="Notaalpie"/>
    <w:rPr>
      <w:rFonts w:ascii="Calibri" w:cs="Calibri" w:eastAsia="Calibri" w:hAnsi="Calibri"/>
      <w:b w:val="0"/>
      <w:bCs w:val="0"/>
      <w:i w:val="0"/>
      <w:iCs w:val="0"/>
      <w:smallCaps w:val="0"/>
      <w:strike w:val="0"/>
      <w:color w:val="000000"/>
      <w:spacing w:val="0"/>
      <w:w w:val="100"/>
      <w:position w:val="0"/>
      <w:sz w:val="20"/>
      <w:szCs w:val="20"/>
      <w:u w:val="none"/>
      <w:lang w:bidi="en-US" w:eastAsia="en-US" w:val="es"/>
    </w:rPr>
  </w:style>
  <w:style w:type="character" w:styleId="Notaalpie4" w:customStyle="1">
    <w:name w:val="Nota al pie"/>
    <w:basedOn w:val="Notaalpie"/>
    <w:rPr>
      <w:rFonts w:ascii="Calibri" w:cs="Calibri" w:eastAsia="Calibri" w:hAnsi="Calibri"/>
      <w:b w:val="0"/>
      <w:bCs w:val="0"/>
      <w:i w:val="0"/>
      <w:iCs w:val="0"/>
      <w:smallCaps w:val="0"/>
      <w:strike w:val="0"/>
      <w:color w:val="000000"/>
      <w:spacing w:val="0"/>
      <w:w w:val="100"/>
      <w:position w:val="0"/>
      <w:sz w:val="20"/>
      <w:szCs w:val="20"/>
      <w:u w:val="none"/>
      <w:lang w:bidi="es-ES" w:eastAsia="es-ES" w:val="es"/>
    </w:rPr>
  </w:style>
  <w:style w:type="character" w:styleId="Cuerpodeltexto5" w:customStyle="1">
    <w:name w:val="Cuerpo del texto (5)_"/>
    <w:basedOn w:val="Fuentedeprrafopredeter"/>
    <w:link w:val="Cuerpodeltexto50"/>
    <w:rPr>
      <w:rFonts w:ascii="Book Antiqua" w:cs="Book Antiqua" w:eastAsia="Book Antiqua" w:hAnsi="Book Antiqua"/>
      <w:b w:val="1"/>
      <w:bCs w:val="1"/>
      <w:i w:val="0"/>
      <w:iCs w:val="0"/>
      <w:smallCaps w:val="0"/>
      <w:strike w:val="0"/>
      <w:u w:val="none"/>
    </w:rPr>
  </w:style>
  <w:style w:type="character" w:styleId="Encabezamientoopiedepgina2" w:customStyle="1">
    <w:name w:val="Encabezamiento o pie de página (2)_"/>
    <w:basedOn w:val="Fuentedeprrafopredeter"/>
    <w:link w:val="Encabezamientoopiedepgina20"/>
    <w:rPr>
      <w:rFonts w:ascii="Book Antiqua" w:cs="Book Antiqua" w:eastAsia="Book Antiqua" w:hAnsi="Book Antiqua"/>
      <w:b w:val="0"/>
      <w:bCs w:val="0"/>
      <w:i w:val="0"/>
      <w:iCs w:val="0"/>
      <w:smallCaps w:val="0"/>
      <w:strike w:val="0"/>
      <w:sz w:val="24"/>
      <w:szCs w:val="24"/>
      <w:u w:val="none"/>
    </w:rPr>
  </w:style>
  <w:style w:type="character" w:styleId="Cuerpodeltexto6" w:customStyle="1">
    <w:name w:val="Cuerpo del texto (6)_"/>
    <w:basedOn w:val="Fuentedeprrafopredeter"/>
    <w:link w:val="Cuerpodeltexto60"/>
    <w:rPr>
      <w:rFonts w:ascii="Book Antiqua" w:cs="Book Antiqua" w:eastAsia="Book Antiqua" w:hAnsi="Book Antiqua"/>
      <w:b w:val="0"/>
      <w:bCs w:val="0"/>
      <w:i w:val="1"/>
      <w:iCs w:val="1"/>
      <w:smallCaps w:val="0"/>
      <w:strike w:val="0"/>
      <w:sz w:val="24"/>
      <w:szCs w:val="24"/>
      <w:u w:val="none"/>
    </w:rPr>
  </w:style>
  <w:style w:type="character" w:styleId="Encabezamientoopiedepgina1" w:customStyle="1">
    <w:name w:val="Encabezamiento o pie de página"/>
    <w:basedOn w:val="Encabezamientoopiedepgina"/>
    <w:rPr>
      <w:rFonts w:ascii="Calibri" w:cs="Calibri" w:eastAsia="Calibri" w:hAnsi="Calibri"/>
      <w:b w:val="0"/>
      <w:bCs w:val="0"/>
      <w:i w:val="0"/>
      <w:iCs w:val="0"/>
      <w:smallCaps w:val="0"/>
      <w:strike w:val="0"/>
      <w:color w:val="000000"/>
      <w:spacing w:val="0"/>
      <w:w w:val="100"/>
      <w:position w:val="0"/>
      <w:sz w:val="19"/>
      <w:szCs w:val="19"/>
      <w:u w:val="single"/>
      <w:lang w:bidi="es-ES" w:eastAsia="es-ES" w:val="es"/>
    </w:rPr>
  </w:style>
  <w:style w:type="character" w:styleId="EncabezamientoopiedepginaCursiva" w:customStyle="1">
    <w:name w:val="Encabezamiento o pie de página + Cursiva"/>
    <w:basedOn w:val="Encabezamientoopiedepgina"/>
    <w:rPr>
      <w:rFonts w:ascii="Calibri" w:cs="Calibri" w:eastAsia="Calibri" w:hAnsi="Calibri"/>
      <w:b w:val="0"/>
      <w:bCs w:val="0"/>
      <w:i w:val="1"/>
      <w:iCs w:val="1"/>
      <w:smallCaps w:val="0"/>
      <w:strike w:val="0"/>
      <w:color w:val="000000"/>
      <w:spacing w:val="0"/>
      <w:w w:val="100"/>
      <w:position w:val="0"/>
      <w:sz w:val="19"/>
      <w:szCs w:val="19"/>
      <w:u w:val="none"/>
      <w:lang w:bidi="es-ES" w:eastAsia="es-ES" w:val="es"/>
    </w:rPr>
  </w:style>
  <w:style w:type="character" w:styleId="Encabezamientoopiedepgina3" w:customStyle="1">
    <w:name w:val="Encabezamiento o pie de página (3)_"/>
    <w:basedOn w:val="Fuentedeprrafopredeter"/>
    <w:link w:val="Encabezamientoopiedepgina30"/>
    <w:rPr>
      <w:rFonts w:ascii="Calibri" w:cs="Calibri" w:eastAsia="Calibri" w:hAnsi="Calibri"/>
      <w:b w:val="0"/>
      <w:bCs w:val="0"/>
      <w:i w:val="1"/>
      <w:iCs w:val="1"/>
      <w:smallCaps w:val="0"/>
      <w:strike w:val="0"/>
      <w:sz w:val="19"/>
      <w:szCs w:val="19"/>
      <w:u w:val="none"/>
    </w:rPr>
  </w:style>
  <w:style w:type="character" w:styleId="Encabezamientoopiedepgina3Sincursiva" w:customStyle="1">
    <w:name w:val="Encabezamiento o pie de página (3) + Sin cursiva"/>
    <w:basedOn w:val="Encabezamientoopiedepgina3"/>
    <w:rPr>
      <w:rFonts w:ascii="Calibri" w:cs="Calibri" w:eastAsia="Calibri" w:hAnsi="Calibri"/>
      <w:b w:val="0"/>
      <w:bCs w:val="0"/>
      <w:i w:val="1"/>
      <w:iCs w:val="1"/>
      <w:smallCaps w:val="0"/>
      <w:strike w:val="0"/>
      <w:color w:val="000000"/>
      <w:spacing w:val="0"/>
      <w:w w:val="100"/>
      <w:position w:val="0"/>
      <w:sz w:val="19"/>
      <w:szCs w:val="19"/>
      <w:u w:val="none"/>
      <w:lang w:bidi="es-ES" w:eastAsia="es-ES" w:val="es"/>
    </w:rPr>
  </w:style>
  <w:style w:type="paragraph" w:styleId="Cuerpodeltexto30" w:customStyle="1">
    <w:name w:val="Cuerpo del texto (3)"/>
    <w:basedOn w:val="Normal"/>
    <w:link w:val="Cuerpodeltexto3"/>
    <w:pPr>
      <w:shd w:color="auto" w:fill="ffffff" w:val="clear"/>
      <w:spacing w:after="600" w:line="0" w:lineRule="atLeast"/>
      <w:jc w:val="both"/>
    </w:pPr>
    <w:rPr>
      <w:rFonts w:ascii="Book Antiqua" w:cs="Book Antiqua" w:eastAsia="Book Antiqua" w:hAnsi="Book Antiqua"/>
      <w:b w:val="1"/>
      <w:bCs w:val="1"/>
      <w:i w:val="1"/>
      <w:iCs w:val="1"/>
    </w:rPr>
  </w:style>
  <w:style w:type="paragraph" w:styleId="Ttulo10" w:customStyle="1">
    <w:name w:val="Título #1"/>
    <w:basedOn w:val="Normal"/>
    <w:link w:val="Ttulo1"/>
    <w:pPr>
      <w:shd w:color="auto" w:fill="ffffff" w:val="clear"/>
      <w:spacing w:after="120" w:before="600" w:line="763" w:lineRule="exact"/>
      <w:jc w:val="both"/>
      <w:outlineLvl w:val="0"/>
    </w:pPr>
    <w:rPr>
      <w:rFonts w:ascii="Book Antiqua" w:cs="Book Antiqua" w:eastAsia="Book Antiqua" w:hAnsi="Book Antiqua"/>
      <w:b w:val="1"/>
      <w:bCs w:val="1"/>
      <w:sz w:val="28"/>
      <w:szCs w:val="28"/>
    </w:rPr>
  </w:style>
  <w:style w:type="paragraph" w:styleId="Ttulo20" w:customStyle="1">
    <w:name w:val="Título #2"/>
    <w:basedOn w:val="Normal"/>
    <w:link w:val="Ttulo2"/>
    <w:pPr>
      <w:shd w:color="auto" w:fill="ffffff" w:val="clear"/>
      <w:spacing w:before="120" w:line="845" w:lineRule="exact"/>
      <w:jc w:val="both"/>
      <w:outlineLvl w:val="1"/>
    </w:pPr>
    <w:rPr>
      <w:rFonts w:ascii="Book Antiqua" w:cs="Book Antiqua" w:eastAsia="Book Antiqua" w:hAnsi="Book Antiqua"/>
      <w:b w:val="1"/>
      <w:bCs w:val="1"/>
    </w:rPr>
  </w:style>
  <w:style w:type="paragraph" w:styleId="Cuerpodeltexto20" w:customStyle="1">
    <w:name w:val="Cuerpo del texto (2)"/>
    <w:basedOn w:val="Normal"/>
    <w:link w:val="Cuerpodeltexto2"/>
    <w:pPr>
      <w:shd w:color="auto" w:fill="ffffff" w:val="clear"/>
      <w:spacing w:before="780" w:line="643" w:lineRule="exact"/>
      <w:ind w:hanging="360"/>
      <w:jc w:val="both"/>
    </w:pPr>
    <w:rPr>
      <w:rFonts w:ascii="Book Antiqua" w:cs="Book Antiqua" w:eastAsia="Book Antiqua" w:hAnsi="Book Antiqua"/>
    </w:rPr>
  </w:style>
  <w:style w:type="paragraph" w:styleId="Notaalpie0" w:customStyle="1">
    <w:name w:val="Nota al pie"/>
    <w:basedOn w:val="Normal"/>
    <w:link w:val="Notaalpie"/>
    <w:pPr>
      <w:shd w:color="auto" w:fill="ffffff" w:val="clear"/>
      <w:spacing w:line="245" w:lineRule="exact"/>
    </w:pPr>
    <w:rPr>
      <w:rFonts w:ascii="Calibri" w:cs="Calibri" w:eastAsia="Calibri" w:hAnsi="Calibri"/>
      <w:sz w:val="20"/>
      <w:szCs w:val="20"/>
    </w:rPr>
  </w:style>
  <w:style w:type="paragraph" w:styleId="Encabezamientoopiedepgina0" w:customStyle="1">
    <w:name w:val="Encabezamiento o pie de página"/>
    <w:basedOn w:val="Normal"/>
    <w:link w:val="Encabezamientoopiedepgina"/>
    <w:pPr>
      <w:shd w:color="auto" w:fill="ffffff" w:val="clear"/>
      <w:spacing w:line="0" w:lineRule="atLeast"/>
    </w:pPr>
    <w:rPr>
      <w:rFonts w:ascii="Calibri" w:cs="Calibri" w:eastAsia="Calibri" w:hAnsi="Calibri"/>
      <w:sz w:val="19"/>
      <w:szCs w:val="19"/>
    </w:rPr>
  </w:style>
  <w:style w:type="paragraph" w:styleId="Notaalpie20" w:customStyle="1">
    <w:name w:val="Nota al pie (2)"/>
    <w:basedOn w:val="Normal"/>
    <w:link w:val="Notaalpie2"/>
    <w:pPr>
      <w:shd w:color="auto" w:fill="ffffff" w:val="clear"/>
      <w:spacing w:line="0" w:lineRule="atLeast"/>
    </w:pPr>
    <w:rPr>
      <w:rFonts w:ascii="Book Antiqua" w:cs="Book Antiqua" w:eastAsia="Book Antiqua" w:hAnsi="Book Antiqua"/>
      <w:sz w:val="12"/>
      <w:szCs w:val="12"/>
    </w:rPr>
  </w:style>
  <w:style w:type="paragraph" w:styleId="Cuerpodeltexto40" w:customStyle="1">
    <w:name w:val="Cuerpo del texto (4)"/>
    <w:basedOn w:val="Normal"/>
    <w:link w:val="Cuerpodeltexto4"/>
    <w:pPr>
      <w:shd w:color="auto" w:fill="ffffff" w:val="clear"/>
      <w:spacing w:line="0" w:lineRule="atLeast"/>
    </w:pPr>
    <w:rPr>
      <w:rFonts w:ascii="Calibri" w:cs="Calibri" w:eastAsia="Calibri" w:hAnsi="Calibri"/>
      <w:sz w:val="20"/>
      <w:szCs w:val="20"/>
    </w:rPr>
  </w:style>
  <w:style w:type="paragraph" w:styleId="Cuerpodeltexto50" w:customStyle="1">
    <w:name w:val="Cuerpo del texto (5)"/>
    <w:basedOn w:val="Normal"/>
    <w:link w:val="Cuerpodeltexto5"/>
    <w:pPr>
      <w:shd w:color="auto" w:fill="ffffff" w:val="clear"/>
      <w:spacing w:line="0" w:lineRule="atLeast"/>
    </w:pPr>
    <w:rPr>
      <w:rFonts w:ascii="Book Antiqua" w:cs="Book Antiqua" w:eastAsia="Book Antiqua" w:hAnsi="Book Antiqua"/>
      <w:b w:val="1"/>
      <w:bCs w:val="1"/>
    </w:rPr>
  </w:style>
  <w:style w:type="paragraph" w:styleId="Encabezamientoopiedepgina20" w:customStyle="1">
    <w:name w:val="Encabezamiento o pie de página (2)"/>
    <w:basedOn w:val="Normal"/>
    <w:link w:val="Encabezamientoopiedepgina2"/>
    <w:pPr>
      <w:shd w:color="auto" w:fill="ffffff" w:val="clear"/>
      <w:spacing w:line="0" w:lineRule="atLeast"/>
    </w:pPr>
    <w:rPr>
      <w:rFonts w:ascii="Book Antiqua" w:cs="Book Antiqua" w:eastAsia="Book Antiqua" w:hAnsi="Book Antiqua"/>
    </w:rPr>
  </w:style>
  <w:style w:type="paragraph" w:styleId="Cuerpodeltexto60" w:customStyle="1">
    <w:name w:val="Cuerpo del texto (6)"/>
    <w:basedOn w:val="Normal"/>
    <w:link w:val="Cuerpodeltexto6"/>
    <w:pPr>
      <w:shd w:color="auto" w:fill="ffffff" w:val="clear"/>
      <w:spacing w:line="648" w:lineRule="exact"/>
    </w:pPr>
    <w:rPr>
      <w:rFonts w:ascii="Book Antiqua" w:cs="Book Antiqua" w:eastAsia="Book Antiqua" w:hAnsi="Book Antiqua"/>
      <w:i w:val="1"/>
      <w:iCs w:val="1"/>
    </w:rPr>
  </w:style>
  <w:style w:type="paragraph" w:styleId="Encabezamientoopiedepgina30" w:customStyle="1">
    <w:name w:val="Encabezamiento o pie de página (3)"/>
    <w:basedOn w:val="Normal"/>
    <w:link w:val="Encabezamientoopiedepgina3"/>
    <w:pPr>
      <w:shd w:color="auto" w:fill="ffffff" w:val="clear"/>
      <w:spacing w:line="245" w:lineRule="exact"/>
    </w:pPr>
    <w:rPr>
      <w:rFonts w:ascii="Calibri" w:cs="Calibri" w:eastAsia="Calibri" w:hAnsi="Calibri"/>
      <w:i w:val="1"/>
      <w:iCs w:val="1"/>
      <w:sz w:val="19"/>
      <w:szCs w:val="19"/>
    </w:rPr>
  </w:style>
  <w:style w:type="paragraph" w:styleId="Prrafodelista">
    <w:name w:val="List Paragraph"/>
    <w:basedOn w:val="Normal"/>
    <w:uiPriority w:val="34"/>
    <w:qFormat w:val="1"/>
    <w:rsid w:val="00807DC1"/>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www.handbook.unsw.edu.au/undergraduate/courses/2015/LAWS1230.html" TargetMode="External"/><Relationship Id="rId8" Type="http://schemas.openxmlformats.org/officeDocument/2006/relationships/hyperlink" Target="http://www.handbook.unsw.edu.au/undergraduate/courses/2015/LAWS1230.html"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H+gg7GSbprWKBi5mD+/1nh4haQ==">CgMxLjAyCGguZ2pkZ3hzOAByITFreEZzc0JWSk01TmRySGxxRE1ZUGxodlZRc3JwOTBsZg==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2024-06-10T18:07:00Z</dcterms:created>
</cp:coreProperties>
</file>