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6E5DE2" w14:textId="02BD4213" w:rsidR="003D7A74" w:rsidRDefault="00A97A63">
      <w:pPr>
        <w:spacing w:line="360" w:lineRule="auto"/>
        <w:jc w:val="both"/>
      </w:pPr>
      <w:r>
        <w:t xml:space="preserve">Espinoza Lozada, J. </w:t>
      </w:r>
      <w:r>
        <w:t>Cruz Dorrego,S.</w:t>
      </w:r>
      <w:r>
        <w:t xml:space="preserve"> </w:t>
      </w:r>
      <w:r>
        <w:t>Ortiz Ruiz</w:t>
      </w:r>
      <w:r>
        <w:t xml:space="preserve">, H. </w:t>
      </w:r>
      <w:r>
        <w:t xml:space="preserve">Pescetto Bustamante, M. </w:t>
      </w:r>
      <w:r>
        <w:t xml:space="preserve">&amp; </w:t>
      </w:r>
      <w:r>
        <w:t>Ram</w:t>
      </w:r>
      <w:r>
        <w:t xml:space="preserve">írez Wong, S. </w:t>
      </w:r>
      <w:r>
        <w:t xml:space="preserve">(2021). </w:t>
      </w:r>
      <w:r w:rsidRPr="00A97A63">
        <w:rPr>
          <w:i/>
          <w:iCs/>
        </w:rPr>
        <w:t>Lineamientos para el Cálculo de los Umbrales de Notificación.</w:t>
      </w:r>
      <w:r>
        <w:t>Indecopi.</w:t>
      </w:r>
      <w:hyperlink r:id="rId6">
        <w:r>
          <w:rPr>
            <w:color w:val="1155CC"/>
            <w:u w:val="single"/>
          </w:rPr>
          <w:t>https://www.gob.pe/institucion/indecopi/informes-publicaciones/1945863-lineamientos-para-el-calculo-de-los-umbrales-de-notificacion</w:t>
        </w:r>
      </w:hyperlink>
    </w:p>
    <w:p w14:paraId="64148C7A" w14:textId="77777777" w:rsidR="003D7A74" w:rsidRDefault="003D7A74">
      <w:pPr>
        <w:spacing w:line="360" w:lineRule="auto"/>
        <w:jc w:val="both"/>
      </w:pPr>
    </w:p>
    <w:p w14:paraId="035E1B4F" w14:textId="77777777" w:rsidR="003D7A74" w:rsidRDefault="00A97A63">
      <w:pPr>
        <w:spacing w:line="360" w:lineRule="auto"/>
        <w:jc w:val="both"/>
      </w:pPr>
      <w:r>
        <w:t>PROYECTO DE LI</w:t>
      </w:r>
      <w:r>
        <w:t>NEAMIENTOS PARA EL CÁLCULO DE LOS UMBRALES DE NOTIFICACIÓN</w:t>
      </w:r>
    </w:p>
    <w:p w14:paraId="4C4A6A42" w14:textId="77777777" w:rsidR="003D7A74" w:rsidRDefault="00A97A63">
      <w:pPr>
        <w:spacing w:line="360" w:lineRule="auto"/>
        <w:jc w:val="both"/>
      </w:pPr>
      <w:r>
        <w:t>INTRODUCCIÓN</w:t>
      </w:r>
    </w:p>
    <w:p w14:paraId="5DDB4788" w14:textId="77777777" w:rsidR="003D7A74" w:rsidRDefault="00A97A63">
      <w:pPr>
        <w:spacing w:line="360" w:lineRule="auto"/>
        <w:jc w:val="both"/>
      </w:pPr>
      <w:bookmarkStart w:id="0" w:name="_heading=h.gjdgxs" w:colFirst="0" w:colLast="0"/>
      <w:bookmarkEnd w:id="0"/>
      <w:r>
        <w:t>El 7 de enero de 2021 se publicó en el Diario Oficial El Peruano la Ley N.º 31112 (en adelante, la “Ley”), ley que establece el control previo de operaciones de concentración empresari</w:t>
      </w:r>
      <w:r>
        <w:t xml:space="preserve">al con la finalidad de promover la competencia efectiva y la eficiencia económica en los mercados para el bienestar de los consumidores. El 4 de marzo de 2021 se publicó en el Diario Oficial El Peruano, el Decreto Supremo N.º 039- 2021-PCM, que aprueba el </w:t>
      </w:r>
      <w:r>
        <w:t>Reglamento de la Ley (en adelante, el “Reglamento”). Conforme lo dispone la Ley y su Reglamento, deben ser evaluados y autorizados por el Indecopi aquellos actos que: (i) califiquen como operaciones de concentración empresarial; y, (</w:t>
      </w:r>
      <w:proofErr w:type="spellStart"/>
      <w:r>
        <w:t>ii</w:t>
      </w:r>
      <w:proofErr w:type="spellEnd"/>
      <w:r>
        <w:t>) superen los umbrale</w:t>
      </w:r>
      <w:r>
        <w:t xml:space="preserve">s de notificación. En cuanto a los umbrales de notificación, la Ley establece parámetros cuantificables y objetivos que permiten filtrar aquellas transacciones que, por la dimensión de los agentes involucrados, posiblemente puedan representar riesgos a la </w:t>
      </w:r>
      <w:r>
        <w:t>competencia; y, por tanto, ameritan ser evaluadas por la autoridad de competencia. De alcanzarse tales umbrales, los agentes económicos tendrán la obligación de presentar a la Comisión de Defensa de la Libre Competencia del Indecopi (en adelante, la “Comis</w:t>
      </w:r>
      <w:r>
        <w:t>ión”) una solicitud de autorización de la operación de concentración empresarial.</w:t>
      </w:r>
    </w:p>
    <w:p w14:paraId="40541947" w14:textId="77777777" w:rsidR="003D7A74" w:rsidRDefault="00A97A63">
      <w:pPr>
        <w:spacing w:line="360" w:lineRule="auto"/>
        <w:jc w:val="both"/>
      </w:pPr>
      <w:r>
        <w:t>Si bien el Reglamento desarrolla la aplicación de los umbrales de notificación, es importante realizar ciertas precisiones sobre la forma cómo deberán calcularse, que oriente</w:t>
      </w:r>
      <w:r>
        <w:t>n a los administrados y brinden claridad al sistema. Ello en concordancia con el literal c) del numeral 12.2 del artículo 12 de la Ley y el artículo 9 del Decreto Legislativo 807, que dispone las facultades, normas y organización del Indecopi, que facultan</w:t>
      </w:r>
      <w:r>
        <w:t xml:space="preserve"> a la Comisión a aprobar Lineamientos que orienten a los agentes del mercado sobre la correcta interpretación de la Ley y su Reglamento. En dicho contexto, se publica este documento de “Lineamientos para el Cálculo de los Umbrales de Notificación” (en adel</w:t>
      </w:r>
      <w:r>
        <w:t>ante, los “Lineamientos”), con la finalidad de detallar los elementos que deben ser considerados por los agentes y la autoridad para realizar el cálculo de los umbrales de notificación, para lo cual se recurre al uso de ejemplos y gráficos que pretenden ot</w:t>
      </w:r>
      <w:r>
        <w:t>orgar claridad y certeza jurídica. Los Lineamientos serán revisados y, de ser el caso, actualizados, de forma periódica por la Comisión.</w:t>
      </w:r>
    </w:p>
    <w:p w14:paraId="755A8FB5" w14:textId="77777777" w:rsidR="003D7A74" w:rsidRDefault="00A97A63">
      <w:pPr>
        <w:spacing w:line="360" w:lineRule="auto"/>
        <w:jc w:val="both"/>
      </w:pPr>
      <w:r>
        <w:t xml:space="preserve">1. LOS UMBRALES DE NOTIFICACIÓN </w:t>
      </w:r>
    </w:p>
    <w:p w14:paraId="2E480792" w14:textId="77777777" w:rsidR="003D7A74" w:rsidRDefault="00A97A63">
      <w:pPr>
        <w:spacing w:line="360" w:lineRule="auto"/>
        <w:jc w:val="both"/>
      </w:pPr>
      <w:r>
        <w:lastRenderedPageBreak/>
        <w:t>Conforme al numeral 6.1. del artículo 6 de la Ley, una operación de concentración empr</w:t>
      </w:r>
      <w:r>
        <w:t xml:space="preserve">esarial debe ser notificada a la Comisión si se cumplen de manera concurrente los siguientes requisitos1: </w:t>
      </w:r>
    </w:p>
    <w:p w14:paraId="1C572669" w14:textId="77777777" w:rsidR="003D7A74" w:rsidRDefault="00A97A63">
      <w:pPr>
        <w:spacing w:line="360" w:lineRule="auto"/>
        <w:jc w:val="both"/>
      </w:pPr>
      <w:r>
        <w:t xml:space="preserve">a. La suma total del valor de las ventas o ingresos brutos anuales o valor de los activos en el país de las empresas involucradas en la operación de </w:t>
      </w:r>
      <w:r>
        <w:t xml:space="preserve">concentración empresarial haya alcanzado durante el ejercicio fiscal anterior a aquel en que se notifique la operación, un valor igual o superior a ciento dieciocho mil (118 000) UIT, y; </w:t>
      </w:r>
    </w:p>
    <w:p w14:paraId="566950BA" w14:textId="77777777" w:rsidR="003D7A74" w:rsidRDefault="00A97A63">
      <w:pPr>
        <w:spacing w:line="360" w:lineRule="auto"/>
        <w:jc w:val="both"/>
      </w:pPr>
      <w:r>
        <w:t>b. El valor de las ventas o ingresos brutos anuales o el valor de ac</w:t>
      </w:r>
      <w:r>
        <w:t>tivos en el país de al menos dos de las empresas involucradas en la operación de concentración empresarial hayan alcanzado durante el ejercicio fiscal anterior a aquel en que se notifique la operación, un valor igual o superior a dieciocho mil (18 000 UIT)</w:t>
      </w:r>
      <w:r>
        <w:t xml:space="preserve"> cada una.</w:t>
      </w:r>
    </w:p>
    <w:p w14:paraId="214ACD75" w14:textId="77777777" w:rsidR="003D7A74" w:rsidRDefault="00A97A63">
      <w:pPr>
        <w:spacing w:line="360" w:lineRule="auto"/>
        <w:jc w:val="both"/>
      </w:pPr>
      <w:r>
        <w:t>Como se puede advertir, la Ley establece dos tipos de umbrales para determinar la notificación de una operación de concentración empresarial: (i) un umbral conjunto correspondiente a 118 000 UIT; y, (</w:t>
      </w:r>
      <w:proofErr w:type="spellStart"/>
      <w:r>
        <w:t>ii</w:t>
      </w:r>
      <w:proofErr w:type="spellEnd"/>
      <w:r>
        <w:t>) un umbral individual correspondiente a 18</w:t>
      </w:r>
      <w:r>
        <w:t xml:space="preserve"> 000 UIT. A su vez, la norma precisa que el cálculo de estos umbrales debe realizarse en base a dos factores: (i) las ventas o ingresos brutos generados en el país por las empresas involucradas en la operación de concentración empresarial; o, (</w:t>
      </w:r>
      <w:proofErr w:type="spellStart"/>
      <w:r>
        <w:t>ii</w:t>
      </w:r>
      <w:proofErr w:type="spellEnd"/>
      <w:r>
        <w:t>) el valor</w:t>
      </w:r>
      <w:r>
        <w:t xml:space="preserve"> de los activos en el país de las empresas involucradas en la operación de concentración empresarial. Conforme al numeral 4.1 del artículo 4 del Reglamento, los factores empleados para el cálculo de los umbrales deben ser utilizados de forma alternativa. D</w:t>
      </w:r>
      <w:r>
        <w:t>e este modo, los agentes deberán notificar la operación de concentración empresarial si: (i) sus ventas o ingresos brutos cumplen con el umbral conjunto e individual establecido por la norma; o (</w:t>
      </w:r>
      <w:proofErr w:type="spellStart"/>
      <w:r>
        <w:t>ii</w:t>
      </w:r>
      <w:proofErr w:type="spellEnd"/>
      <w:r>
        <w:t xml:space="preserve">) si el valor de sus activos cumple con tales umbrales. </w:t>
      </w:r>
    </w:p>
    <w:p w14:paraId="4DB8CBD5" w14:textId="77777777" w:rsidR="003D7A74" w:rsidRDefault="00A97A63">
      <w:pPr>
        <w:spacing w:line="360" w:lineRule="auto"/>
        <w:jc w:val="both"/>
      </w:pPr>
      <w:r>
        <w:t xml:space="preserve">A </w:t>
      </w:r>
      <w:r>
        <w:t xml:space="preserve">modo de ejemplo, consideremos el caso hipotético de la adquisición de una empresa. En este supuesto, la empresa A es una empresa dedicada a la producción de pinturas, productos químicos y derivados; y, decide adquirir a su competidor, la empresa B. El año </w:t>
      </w:r>
      <w:r>
        <w:t>anterior a la notificación, la empresa A generó ingresos en el Perú equivalentes a 100 000 UIT y, acorde a sus estados financieros, sus activos en el país se valorizaron contablemente en 110 000 UIT. Por su parte, la empresa B generó ingresos en el Perú eq</w:t>
      </w:r>
      <w:r>
        <w:t>uivalentes a 10 000 UIT y, acorde a sus estados financieros, sus activos en el país se valorizaron contablemente en 19 000 UIT. Para determinar si las empresas A y B cumplen con los umbrales de notificación se deben contabilizar, por un lado, sus ingresos;</w:t>
      </w:r>
      <w:r>
        <w:t xml:space="preserve"> y, por otro lado, sus activos, conforme se detalla a continuación3:</w:t>
      </w:r>
    </w:p>
    <w:p w14:paraId="45708B69" w14:textId="77777777" w:rsidR="003D7A74" w:rsidRDefault="00A97A63">
      <w:pPr>
        <w:spacing w:line="360" w:lineRule="auto"/>
        <w:jc w:val="both"/>
      </w:pPr>
      <w:r>
        <w:t xml:space="preserve">Ingresos: </w:t>
      </w:r>
    </w:p>
    <w:p w14:paraId="09A11D9B" w14:textId="77777777" w:rsidR="003D7A74" w:rsidRDefault="00A97A63">
      <w:pPr>
        <w:spacing w:line="360" w:lineRule="auto"/>
        <w:jc w:val="both"/>
      </w:pPr>
      <w:r>
        <w:rPr>
          <w:rFonts w:ascii="Arial" w:eastAsia="Arial" w:hAnsi="Arial" w:cs="Arial"/>
        </w:rPr>
        <w:t>■</w:t>
      </w:r>
      <w:r>
        <w:t xml:space="preserve"> Umbral Conjunto (118 000 UIT): Para determinar si las empresas alcanzan este umbral, se deben sumar los ingresos de A (100 000 UIT) y los ingresos de B (10 000 UIT). Como se </w:t>
      </w:r>
      <w:r>
        <w:t xml:space="preserve">puede advertir, la suma de tales ingresos no alcanza el umbral conjunto4. </w:t>
      </w:r>
    </w:p>
    <w:p w14:paraId="04F96A5A" w14:textId="77777777" w:rsidR="003D7A74" w:rsidRDefault="00A97A63">
      <w:pPr>
        <w:spacing w:line="360" w:lineRule="auto"/>
        <w:jc w:val="both"/>
      </w:pPr>
      <w:r>
        <w:rPr>
          <w:rFonts w:ascii="Arial" w:eastAsia="Arial" w:hAnsi="Arial" w:cs="Arial"/>
        </w:rPr>
        <w:lastRenderedPageBreak/>
        <w:t>■</w:t>
      </w:r>
      <w:r>
        <w:t xml:space="preserve"> Umbral Individual (18 000 UIT): Para determinar si las empresas alcanzan este umbral, se deben considerar, por un lado, los ingresos de A (100 000 UIT) y, por otro lado, los ingre</w:t>
      </w:r>
      <w:r>
        <w:t>sos de B (10 000 UIT). Como se puede advertir, la empresa B no lleg</w:t>
      </w:r>
      <w:r>
        <w:t>ó</w:t>
      </w:r>
      <w:r>
        <w:t xml:space="preserve"> al umbral individual.</w:t>
      </w:r>
    </w:p>
    <w:p w14:paraId="6F71A428" w14:textId="77777777" w:rsidR="003D7A74" w:rsidRDefault="00A97A63">
      <w:pPr>
        <w:spacing w:line="360" w:lineRule="auto"/>
        <w:jc w:val="both"/>
      </w:pPr>
      <w:r>
        <w:t xml:space="preserve">Activos: </w:t>
      </w:r>
    </w:p>
    <w:p w14:paraId="75B38BD6" w14:textId="77777777" w:rsidR="003D7A74" w:rsidRDefault="00A97A63">
      <w:pPr>
        <w:spacing w:line="360" w:lineRule="auto"/>
        <w:jc w:val="both"/>
      </w:pPr>
      <w:r>
        <w:rPr>
          <w:rFonts w:ascii="Arial" w:eastAsia="Arial" w:hAnsi="Arial" w:cs="Arial"/>
        </w:rPr>
        <w:t>■</w:t>
      </w:r>
      <w:r>
        <w:t xml:space="preserve"> Umbral Conjunto (118 000 UIT): Para determinar si las empresas alcanzan este umbral, se deben sumar el valor de los activos de A (110 000 UIT) y el valor</w:t>
      </w:r>
      <w:r>
        <w:t xml:space="preserve"> de los activos de B (19 000 UIT). Como se puede advertir, la suma de tales activos alcanza el umbral conjunto. </w:t>
      </w:r>
    </w:p>
    <w:p w14:paraId="040893F2" w14:textId="77777777" w:rsidR="003D7A74" w:rsidRDefault="00A97A63">
      <w:pPr>
        <w:spacing w:line="360" w:lineRule="auto"/>
        <w:jc w:val="both"/>
      </w:pPr>
      <w:r>
        <w:rPr>
          <w:rFonts w:ascii="Arial" w:eastAsia="Arial" w:hAnsi="Arial" w:cs="Arial"/>
        </w:rPr>
        <w:t>■</w:t>
      </w:r>
      <w:r>
        <w:t xml:space="preserve"> Umbral Individual (18 000 UIT): Para determinar si las empresas alcanzan este umbral, se deben considerar, por un lado, el valor contable de </w:t>
      </w:r>
      <w:r>
        <w:t>los activos de A (110 000 UIT) y, por otro lado, el valor contable de los activos de B (18 000 UIT). Como se puede advertir, las dos empresas alcanzaron el umbral individual.</w:t>
      </w:r>
    </w:p>
    <w:p w14:paraId="5820607D" w14:textId="77777777" w:rsidR="003D7A74" w:rsidRDefault="00A97A63">
      <w:pPr>
        <w:spacing w:line="360" w:lineRule="auto"/>
        <w:jc w:val="both"/>
      </w:pPr>
      <w:r>
        <w:t>Aunque las empresas no alcanzan los umbrales basándose en el indicador de ventas,</w:t>
      </w:r>
      <w:r>
        <w:t xml:space="preserve"> considerando el valor de sus activos si los cumplen, por tanto, la operación debe ser notificada a la Comisión. </w:t>
      </w:r>
    </w:p>
    <w:p w14:paraId="6D227060" w14:textId="77777777" w:rsidR="003D7A74" w:rsidRDefault="00A97A63">
      <w:pPr>
        <w:spacing w:line="360" w:lineRule="auto"/>
        <w:jc w:val="both"/>
      </w:pPr>
      <w:r>
        <w:t>Cabe resaltar que, acorde a las reglas establecidas por el Reglamento, para determinar el cumplimiento del umbral conjunto no es posible sumar</w:t>
      </w:r>
      <w:r>
        <w:t xml:space="preserve"> los ingresos de la empresa A y los activos de la empresa B, o viceversa. Asimismo, para determinar el cumplimiento del umbral individual no es posible considerar, por un lado, los ingresos de A; y, por otro lado, los activos de B, o viceversa.</w:t>
      </w:r>
    </w:p>
    <w:p w14:paraId="5D3E1254" w14:textId="77777777" w:rsidR="003D7A74" w:rsidRDefault="00A97A63">
      <w:pPr>
        <w:spacing w:line="360" w:lineRule="auto"/>
        <w:jc w:val="both"/>
      </w:pPr>
      <w:r>
        <w:t>Finalmente,</w:t>
      </w:r>
      <w:r>
        <w:t xml:space="preserve"> tampoco es posible considerar las ventas o ingresos en el cálculo del umbral conjunto (por ejemplo, las ventas de A y B) y, a la par, emplear el valor de los activos en los umbrales individuales (los activos de A y B, en el ejemplo descrito). Se deberá ap</w:t>
      </w:r>
      <w:r>
        <w:t>licar un mismo factor para el cálculo de los umbrales conjunto e individual.</w:t>
      </w:r>
    </w:p>
    <w:p w14:paraId="3151F94F" w14:textId="77777777" w:rsidR="003D7A74" w:rsidRDefault="00A97A63">
      <w:pPr>
        <w:spacing w:line="360" w:lineRule="auto"/>
        <w:jc w:val="both"/>
      </w:pPr>
      <w:r>
        <w:t>2. IDENTIFICACIÓN DE LAS EMPRESAS INVOLUCRADAS Por su parte, el artículo 4 del Reglamento precisa qué empresas deben ser consideradas para calcular los umbrales de una operación d</w:t>
      </w:r>
      <w:r>
        <w:t xml:space="preserve">e concentración. Para estos efectos, se contemplan las siguientes reglas de cálculo: </w:t>
      </w:r>
    </w:p>
    <w:p w14:paraId="30D6088B" w14:textId="77777777" w:rsidR="003D7A74" w:rsidRDefault="00A97A63">
      <w:pPr>
        <w:spacing w:line="360" w:lineRule="auto"/>
        <w:jc w:val="both"/>
      </w:pPr>
      <w:r>
        <w:t>a) Cuando la operación corresponda a los actos establecidos en los incisos a) y c) del numeral 5.1 del artículo 5 de la Ley, se consideran las ventas o ingresos brutos an</w:t>
      </w:r>
      <w:r>
        <w:t xml:space="preserve">uales o el valor contable de los activos de los agentes económicos participantes en la operación y de sus respectivos grupos económicos. </w:t>
      </w:r>
    </w:p>
    <w:p w14:paraId="1E1282DB" w14:textId="77777777" w:rsidR="003D7A74" w:rsidRDefault="00A97A63">
      <w:pPr>
        <w:spacing w:line="360" w:lineRule="auto"/>
        <w:jc w:val="both"/>
      </w:pPr>
      <w:r>
        <w:t>b) Cuando la operación tenga por resultado la adquisición por parte de uno o más agentes económicos, directa o indirec</w:t>
      </w:r>
      <w:r>
        <w:t>tamente, de los derechos que le permitan ejercer control sobre la totalidad o parte de otro agente económico, se consideran las ventas o ingresos brutos anuales o el valor contable de los activos del agente adquiriente, del grupo económico del adquiriente,</w:t>
      </w:r>
      <w:r>
        <w:t xml:space="preserve"> del agente adquirido y de los agentes sobre los cuáles éste último ejerza control.</w:t>
      </w:r>
    </w:p>
    <w:p w14:paraId="4732D48A" w14:textId="77777777" w:rsidR="003D7A74" w:rsidRDefault="00A97A63">
      <w:pPr>
        <w:spacing w:line="360" w:lineRule="auto"/>
        <w:jc w:val="both"/>
      </w:pPr>
      <w:r>
        <w:lastRenderedPageBreak/>
        <w:t>c) Cuando la operación corresponda al acto establecido en el inciso d) del numeral 5.1. del artículo 5 de la Ley , se consideran las ventas o ingresos brutos o el valor con</w:t>
      </w:r>
      <w:r>
        <w:t>table de los activos del agente adquiriente y de su grupo económico; y, aquellas ventas o ingresos brutos que hayan sido generados por los activos productivos operativos adquiridos o el valor contable de tales activos.</w:t>
      </w:r>
    </w:p>
    <w:p w14:paraId="041088D4" w14:textId="77777777" w:rsidR="003D7A74" w:rsidRDefault="00A97A63">
      <w:pPr>
        <w:spacing w:line="360" w:lineRule="auto"/>
        <w:jc w:val="both"/>
      </w:pPr>
      <w:r>
        <w:t>Conforme se puede advertir, para el c</w:t>
      </w:r>
      <w:r>
        <w:t>álculo de los umbrales de notificación, dependiendo del tipo de actos, el Reglamento considera a las empresas que directamente pretenden concentrarse y, de ser el caso, también a las empresas que forman parte de sus respectivos grupos económicos o unidades</w:t>
      </w:r>
      <w:r>
        <w:t xml:space="preserve"> de control. </w:t>
      </w:r>
    </w:p>
    <w:p w14:paraId="095DE690" w14:textId="77777777" w:rsidR="003D7A74" w:rsidRDefault="00A97A63">
      <w:pPr>
        <w:spacing w:line="360" w:lineRule="auto"/>
        <w:jc w:val="both"/>
      </w:pPr>
      <w:r>
        <w:t>Cabe recordar que el artículo 3 de la Ley define grupo económico como “el conjunto de agentes económicos, nacionales o extranjeros, conformado al menos por dos miembros, cuando alguno de ellos ejerce el control sobre el otro u otros, o cuando</w:t>
      </w:r>
      <w:r>
        <w:t xml:space="preserve"> el </w:t>
      </w:r>
      <w:proofErr w:type="spellStart"/>
      <w:r>
        <w:t>controlsobre</w:t>
      </w:r>
      <w:proofErr w:type="spellEnd"/>
      <w:r>
        <w:t xml:space="preserve"> los agentes económicos corresponde a una o varias personas naturales que actúen como una unidad de decisión.” </w:t>
      </w:r>
    </w:p>
    <w:p w14:paraId="7262E8F8" w14:textId="77777777" w:rsidR="003D7A74" w:rsidRDefault="00A97A63">
      <w:pPr>
        <w:spacing w:line="360" w:lineRule="auto"/>
        <w:jc w:val="both"/>
      </w:pPr>
      <w:r>
        <w:t>Asimismo, define el término “control” como “la posibilidad de ejercer una influencia decisiva y continua sobre un agente económi</w:t>
      </w:r>
      <w:r>
        <w:t>co mediante (i) derechos de propiedad o de uso de la totalidad o de una parte de los activos de una empresa, o (</w:t>
      </w:r>
      <w:proofErr w:type="spellStart"/>
      <w:r>
        <w:t>ii</w:t>
      </w:r>
      <w:proofErr w:type="spellEnd"/>
      <w:r>
        <w:t>) derechos o contratos que permitan influir de manera decisiva y continua sobre la composición, las deliberaciones o las decisiones de los órg</w:t>
      </w:r>
      <w:r>
        <w:t>anos de una empresa, determinando directa o indirectamente la estrategia competitiva”.</w:t>
      </w:r>
    </w:p>
    <w:p w14:paraId="579056F2" w14:textId="77777777" w:rsidR="003D7A74" w:rsidRDefault="00A97A63">
      <w:pPr>
        <w:spacing w:line="360" w:lineRule="auto"/>
        <w:jc w:val="both"/>
      </w:pPr>
      <w:r>
        <w:t>De este modo, cuando el Reglamento hace referencia a grupo económico o al control de empresas, deberá considerarse las definiciones establecidas por la Ley y, a modo complementario, la jurisprudencia emitida por la Comisión y Sala sobre esta materia.11</w:t>
      </w:r>
    </w:p>
    <w:p w14:paraId="57646EA2" w14:textId="77777777" w:rsidR="003D7A74" w:rsidRDefault="00A97A63">
      <w:pPr>
        <w:spacing w:line="360" w:lineRule="auto"/>
        <w:jc w:val="both"/>
      </w:pPr>
      <w:r>
        <w:t>A c</w:t>
      </w:r>
      <w:r>
        <w:t xml:space="preserve">ontinuación, se utilizarán ejemplos para esclarecer cómo funcionan las reglas de cálculo para cada supuesto12. </w:t>
      </w:r>
    </w:p>
    <w:p w14:paraId="42F52C32" w14:textId="77777777" w:rsidR="003D7A74" w:rsidRDefault="00A97A63">
      <w:pPr>
        <w:spacing w:line="360" w:lineRule="auto"/>
        <w:jc w:val="both"/>
      </w:pPr>
      <w:r>
        <w:t xml:space="preserve">2.1. Regla de Cálculo N.º 1 aplicable a fusiones, creación de nuevas empresas en común, </w:t>
      </w:r>
      <w:proofErr w:type="spellStart"/>
      <w:r>
        <w:t>joint</w:t>
      </w:r>
      <w:proofErr w:type="spellEnd"/>
      <w:r>
        <w:t xml:space="preserve"> ventures y modalidades contractuales análogas</w:t>
      </w:r>
    </w:p>
    <w:p w14:paraId="52AD50DB" w14:textId="77777777" w:rsidR="003D7A74" w:rsidRDefault="00A97A63">
      <w:pPr>
        <w:spacing w:line="360" w:lineRule="auto"/>
        <w:jc w:val="both"/>
      </w:pPr>
      <w:r>
        <w:t>¿Qué</w:t>
      </w:r>
      <w:r>
        <w:t xml:space="preserve"> dice la regla de cálculo según el Reglamento? “Cuando la operación corresponda a los actos establecidos en los incisos a) y c) del numeral 5.1 del artículo 5 de la Ley 31112, se consideran las ventas o ingresos brutos anuales o el valor contable de los ac</w:t>
      </w:r>
      <w:r>
        <w:t>tivos de los agentes económicos participantes en la operación y de sus respectivos grupos económicos.”</w:t>
      </w:r>
    </w:p>
    <w:p w14:paraId="5E03C177" w14:textId="77777777" w:rsidR="003D7A74" w:rsidRDefault="00A97A63">
      <w:pPr>
        <w:spacing w:line="360" w:lineRule="auto"/>
        <w:jc w:val="both"/>
      </w:pPr>
      <w:r>
        <w:t xml:space="preserve">Caso hipotético: Creación de una nueva empresa </w:t>
      </w:r>
    </w:p>
    <w:p w14:paraId="5121DF40" w14:textId="77777777" w:rsidR="003D7A74" w:rsidRDefault="00A97A63">
      <w:pPr>
        <w:spacing w:line="360" w:lineRule="auto"/>
        <w:jc w:val="both"/>
      </w:pPr>
      <w:r>
        <w:t>A es una empresa que fabrica materiales de oficina en el Perú. A tiene como principal accionista a la emp</w:t>
      </w:r>
      <w:r>
        <w:t xml:space="preserve">resa X que también participa en el mercado peruano14. </w:t>
      </w:r>
    </w:p>
    <w:p w14:paraId="1B7E7F1B" w14:textId="77777777" w:rsidR="003D7A74" w:rsidRDefault="00A97A63">
      <w:pPr>
        <w:spacing w:line="360" w:lineRule="auto"/>
        <w:jc w:val="both"/>
      </w:pPr>
      <w:r>
        <w:lastRenderedPageBreak/>
        <w:t>Por su parte, B es una empresa que ofrece servicios de asesoría en proyectos de desarrollo sostenible y reciclaje en el Perú. B tiene como principal accionista a la empresa Y que también participa en e</w:t>
      </w:r>
      <w:r>
        <w:t xml:space="preserve">l mercado peruano15. A su vez, Y tiene un porcentaje de participación en la empresa W, sin ostentar el control de la empresa. </w:t>
      </w:r>
    </w:p>
    <w:p w14:paraId="5EDEF504" w14:textId="77777777" w:rsidR="003D7A74" w:rsidRDefault="00A97A63">
      <w:pPr>
        <w:spacing w:line="360" w:lineRule="auto"/>
        <w:jc w:val="both"/>
      </w:pPr>
      <w:r>
        <w:t>Con el objetivo de producir materiales de oficina en base a productos reciclados, A y B deciden formar una empresa en común que f</w:t>
      </w:r>
      <w:r>
        <w:t>uncionará de forma autónoma con carácter permanente. A y B ostentarían el control conjunto de la nueva empresa. La operación se graficaría de la siguiente forma:</w:t>
      </w:r>
    </w:p>
    <w:p w14:paraId="2A6A7BDD" w14:textId="77777777" w:rsidR="003D7A74" w:rsidRDefault="00A97A63">
      <w:pPr>
        <w:spacing w:line="360" w:lineRule="auto"/>
        <w:jc w:val="both"/>
      </w:pPr>
      <w:r>
        <w:t>Siguiendo las reglas establecidas por el Reglamento, para el presente caso deberá considerarse</w:t>
      </w:r>
      <w:r>
        <w:t xml:space="preserve"> las ventas, ingresos, o activos de: </w:t>
      </w:r>
    </w:p>
    <w:p w14:paraId="521E85DB" w14:textId="77777777" w:rsidR="003D7A74" w:rsidRDefault="00A97A63">
      <w:pPr>
        <w:spacing w:line="360" w:lineRule="auto"/>
        <w:jc w:val="both"/>
      </w:pPr>
      <w:r>
        <w:rPr>
          <w:rFonts w:ascii="Arial" w:eastAsia="Arial" w:hAnsi="Arial" w:cs="Arial"/>
        </w:rPr>
        <w:t>■</w:t>
      </w:r>
      <w:r>
        <w:t xml:space="preserve"> La empresa A (participante de la operaci</w:t>
      </w:r>
      <w:r>
        <w:t>ó</w:t>
      </w:r>
      <w:r>
        <w:t>n) y la empresa X (que conforma el grupo econ</w:t>
      </w:r>
      <w:r>
        <w:t>ó</w:t>
      </w:r>
      <w:r>
        <w:t xml:space="preserve">mico de A). </w:t>
      </w:r>
    </w:p>
    <w:p w14:paraId="780201B7" w14:textId="77777777" w:rsidR="003D7A74" w:rsidRDefault="00A97A63">
      <w:pPr>
        <w:spacing w:line="360" w:lineRule="auto"/>
        <w:jc w:val="both"/>
      </w:pPr>
      <w:r>
        <w:rPr>
          <w:rFonts w:ascii="Arial" w:eastAsia="Arial" w:hAnsi="Arial" w:cs="Arial"/>
        </w:rPr>
        <w:t>■</w:t>
      </w:r>
      <w:r>
        <w:t xml:space="preserve"> La empresa B (participante de la operaci</w:t>
      </w:r>
      <w:r>
        <w:t>ó</w:t>
      </w:r>
      <w:r>
        <w:t>n) y la empresa Y (que conforma el grupo econ</w:t>
      </w:r>
      <w:r>
        <w:t>ó</w:t>
      </w:r>
      <w:r>
        <w:t>mico de B). En este supuesto, no deber</w:t>
      </w:r>
      <w:r>
        <w:t>á</w:t>
      </w:r>
      <w:r>
        <w:t xml:space="preserve"> considerarse a la empresa W toda vez que no es controlada por Y; y, por tanto, no forma parte de su grupo econ</w:t>
      </w:r>
      <w:r>
        <w:t>ó</w:t>
      </w:r>
      <w:r>
        <w:t>mico.</w:t>
      </w:r>
    </w:p>
    <w:p w14:paraId="0008BD8C" w14:textId="77777777" w:rsidR="003D7A74" w:rsidRDefault="00A97A63">
      <w:pPr>
        <w:spacing w:line="360" w:lineRule="auto"/>
        <w:jc w:val="both"/>
      </w:pPr>
      <w:r>
        <w:t>2.2. Regla de Cálculo N.º 2 aplicable a la adquisició</w:t>
      </w:r>
      <w:r>
        <w:t xml:space="preserve">n de derechos o acciones que otorgan control </w:t>
      </w:r>
    </w:p>
    <w:p w14:paraId="6A5C6545" w14:textId="77777777" w:rsidR="003D7A74" w:rsidRDefault="00A97A63">
      <w:pPr>
        <w:spacing w:line="360" w:lineRule="auto"/>
        <w:jc w:val="both"/>
      </w:pPr>
      <w:r>
        <w:t xml:space="preserve">¿Qué dice la regla de cálculo según el Reglamento? </w:t>
      </w:r>
    </w:p>
    <w:p w14:paraId="75A5F7DC" w14:textId="77777777" w:rsidR="003D7A74" w:rsidRDefault="00A97A63">
      <w:pPr>
        <w:spacing w:line="360" w:lineRule="auto"/>
        <w:jc w:val="both"/>
      </w:pPr>
      <w:r>
        <w:t>“Cuando la operación tenga por resultado la adquisición por parte de uno o más agentes económicos, directa o indirectamente, de los derechos que le permitan e</w:t>
      </w:r>
      <w:r>
        <w:t>jercer control sobre la totalidad o parte de otro agente económico, se consideran las ventas o ingresos brutos anuales o el valor contable de los activos del agente adquiriente, del grupo económico del adquiriente, del agente adquirido y de los agentes sob</w:t>
      </w:r>
      <w:r>
        <w:t>re los cuáles éste último ejerza control.”</w:t>
      </w:r>
    </w:p>
    <w:p w14:paraId="7B229AB2" w14:textId="77777777" w:rsidR="003D7A74" w:rsidRDefault="00A97A63">
      <w:pPr>
        <w:spacing w:line="360" w:lineRule="auto"/>
        <w:jc w:val="both"/>
      </w:pPr>
      <w:r>
        <w:t xml:space="preserve">Caso hipotético: Adquisición de acciones </w:t>
      </w:r>
    </w:p>
    <w:p w14:paraId="79958E87" w14:textId="77777777" w:rsidR="003D7A74" w:rsidRDefault="00A97A63">
      <w:pPr>
        <w:spacing w:line="360" w:lineRule="auto"/>
        <w:jc w:val="both"/>
      </w:pPr>
      <w:r>
        <w:t>ALPHA es una empresa peruana dedicada a la comercialización de combustibles líquidos y gaseosos en el país. También participa en el mercado farmacéutico (a través de la em</w:t>
      </w:r>
      <w:r>
        <w:t xml:space="preserve">presa "X”), el mercado de servicios educativos (a través de la empresa “Y”) y el mercado de </w:t>
      </w:r>
      <w:proofErr w:type="spellStart"/>
      <w:r>
        <w:t>retail</w:t>
      </w:r>
      <w:proofErr w:type="spellEnd"/>
      <w:r>
        <w:t xml:space="preserve"> (a través de la empresa “Z”). </w:t>
      </w:r>
    </w:p>
    <w:p w14:paraId="7989D896" w14:textId="77777777" w:rsidR="003D7A74" w:rsidRDefault="00A97A63">
      <w:pPr>
        <w:spacing w:line="360" w:lineRule="auto"/>
        <w:jc w:val="both"/>
      </w:pPr>
      <w:r>
        <w:t>ALPHA está interesada en adquirir el 80% de acciones con derecho de voto de la empresa BETHA, que participa en el mercado de c</w:t>
      </w:r>
      <w:r>
        <w:t xml:space="preserve">omercialización de combustibles líquidos en las regiones La Libertad, Lambayeque, Piura y Tumbes. BETHA a su vez, ostenta - junto con otra empresa - el control de la empresa T, que participa en el mercado de comercialización de combustibles líquidos en la </w:t>
      </w:r>
      <w:r>
        <w:t xml:space="preserve">Región Cajamarca. </w:t>
      </w:r>
    </w:p>
    <w:p w14:paraId="3846E2F6" w14:textId="77777777" w:rsidR="003D7A74" w:rsidRDefault="00A97A63">
      <w:pPr>
        <w:spacing w:line="360" w:lineRule="auto"/>
        <w:jc w:val="both"/>
      </w:pPr>
      <w:r>
        <w:t>La operación se graficaría de la siguiente forma:</w:t>
      </w:r>
    </w:p>
    <w:p w14:paraId="127DC393" w14:textId="77777777" w:rsidR="003D7A74" w:rsidRDefault="00A97A63">
      <w:pPr>
        <w:spacing w:line="360" w:lineRule="auto"/>
        <w:jc w:val="both"/>
      </w:pPr>
      <w:r>
        <w:lastRenderedPageBreak/>
        <w:t xml:space="preserve">Siguiendo las reglas establecidas por el Reglamento, para el presente caso deberá considerarse las ventas, ingresos, o activos de: </w:t>
      </w:r>
    </w:p>
    <w:p w14:paraId="7DC48776" w14:textId="77777777" w:rsidR="003D7A74" w:rsidRDefault="00A97A63">
      <w:pPr>
        <w:spacing w:line="360" w:lineRule="auto"/>
        <w:jc w:val="both"/>
      </w:pPr>
      <w:r>
        <w:rPr>
          <w:rFonts w:ascii="Arial" w:eastAsia="Arial" w:hAnsi="Arial" w:cs="Arial"/>
        </w:rPr>
        <w:t>■</w:t>
      </w:r>
      <w:r>
        <w:t xml:space="preserve"> La empresa ALPHA (la adquiriente) y las empresas X, Y</w:t>
      </w:r>
      <w:r>
        <w:t xml:space="preserve"> </w:t>
      </w:r>
      <w:proofErr w:type="spellStart"/>
      <w:r>
        <w:t>y</w:t>
      </w:r>
      <w:proofErr w:type="spellEnd"/>
      <w:r>
        <w:t xml:space="preserve"> Z (que conforman el grupo econ</w:t>
      </w:r>
      <w:r>
        <w:t>ó</w:t>
      </w:r>
      <w:r>
        <w:t xml:space="preserve">mico del adquirente). </w:t>
      </w:r>
    </w:p>
    <w:p w14:paraId="778DA862" w14:textId="77777777" w:rsidR="003D7A74" w:rsidRDefault="00A97A63">
      <w:pPr>
        <w:spacing w:line="360" w:lineRule="auto"/>
        <w:jc w:val="both"/>
      </w:pPr>
      <w:r>
        <w:rPr>
          <w:rFonts w:ascii="Arial" w:eastAsia="Arial" w:hAnsi="Arial" w:cs="Arial"/>
        </w:rPr>
        <w:t>■</w:t>
      </w:r>
      <w:r>
        <w:t xml:space="preserve"> La empresa BETHA (la adquirida) y la empresa T (que es controlada por la adquirida).</w:t>
      </w:r>
    </w:p>
    <w:p w14:paraId="1081B4CF" w14:textId="77777777" w:rsidR="003D7A74" w:rsidRDefault="00A97A63">
      <w:pPr>
        <w:spacing w:line="360" w:lineRule="auto"/>
        <w:jc w:val="both"/>
      </w:pPr>
      <w:r>
        <w:t>Para la contabilización de las ventas, ingresos o activos, si una empresa ostenta el control de otra empresa (ya</w:t>
      </w:r>
      <w:r>
        <w:t xml:space="preserve"> sea control exclusivo o conjunto) se deberá considerar el valor total de los ingresos, ventas o activos de la empresa controlada, al margen de la participación accionarial que ostente específicamente el grupo empresarial sobre esa empresa.</w:t>
      </w:r>
    </w:p>
    <w:p w14:paraId="5B0230C1" w14:textId="77777777" w:rsidR="003D7A74" w:rsidRDefault="00A97A63">
      <w:pPr>
        <w:spacing w:line="360" w:lineRule="auto"/>
        <w:jc w:val="both"/>
      </w:pPr>
      <w:r>
        <w:t>Caso hipotético</w:t>
      </w:r>
      <w:r>
        <w:t xml:space="preserve">: De control conjunto a control exclusivo </w:t>
      </w:r>
    </w:p>
    <w:p w14:paraId="7E1547DB" w14:textId="77777777" w:rsidR="003D7A74" w:rsidRDefault="00A97A63">
      <w:pPr>
        <w:spacing w:line="360" w:lineRule="auto"/>
        <w:jc w:val="both"/>
      </w:pPr>
      <w:r>
        <w:t xml:space="preserve">A es una empresa peruana que brinda servicios de construcción. A tiene como principal accionista a X, empresa que también participa en el mercado peruano. </w:t>
      </w:r>
    </w:p>
    <w:p w14:paraId="1172A468" w14:textId="77777777" w:rsidR="003D7A74" w:rsidRDefault="00A97A63">
      <w:pPr>
        <w:spacing w:line="360" w:lineRule="auto"/>
        <w:jc w:val="both"/>
      </w:pPr>
      <w:r>
        <w:t xml:space="preserve">A su vez, A tiene el 50% de la participación accionarial </w:t>
      </w:r>
      <w:r>
        <w:t>de M, ostentando el control de dicha empresa junto a B (quien ostenta el otro 50% de acciones). M es una empresa peruana que brinda servicios de consultoría en temas de ingeniería e infraestructura. A desea adquirir de B un 40% de acciones de M, con la fin</w:t>
      </w:r>
      <w:r>
        <w:t xml:space="preserve">alidad de obtener el control exclusivo de la empresa. </w:t>
      </w:r>
    </w:p>
    <w:p w14:paraId="7619E964" w14:textId="77777777" w:rsidR="003D7A74" w:rsidRDefault="00A97A63">
      <w:pPr>
        <w:spacing w:line="360" w:lineRule="auto"/>
        <w:jc w:val="both"/>
      </w:pPr>
      <w:r>
        <w:t>Esta operación se graficaría de la siguiente forma:</w:t>
      </w:r>
    </w:p>
    <w:p w14:paraId="5B1BA9B2" w14:textId="77777777" w:rsidR="003D7A74" w:rsidRDefault="00A97A63">
      <w:pPr>
        <w:spacing w:line="360" w:lineRule="auto"/>
        <w:jc w:val="both"/>
      </w:pPr>
      <w:r>
        <w:t xml:space="preserve">Siguiendo las reglas establecidas por el Reglamento, para el presente caso deberá considerarse las ventas, ingresos, o activos de: </w:t>
      </w:r>
    </w:p>
    <w:p w14:paraId="4F4A01FB" w14:textId="77777777" w:rsidR="003D7A74" w:rsidRDefault="00A97A63">
      <w:pPr>
        <w:spacing w:line="360" w:lineRule="auto"/>
        <w:jc w:val="both"/>
      </w:pPr>
      <w:r>
        <w:t xml:space="preserve">(i) La empresa A </w:t>
      </w:r>
      <w:r>
        <w:t xml:space="preserve">(adquiriente) y la empresa X (que conforma grupo económico de la adquiriente) </w:t>
      </w:r>
    </w:p>
    <w:p w14:paraId="653ADEBC" w14:textId="77777777" w:rsidR="003D7A74" w:rsidRDefault="00A97A63">
      <w:pPr>
        <w:spacing w:line="360" w:lineRule="auto"/>
        <w:jc w:val="both"/>
      </w:pPr>
      <w:r>
        <w:t>(</w:t>
      </w:r>
      <w:proofErr w:type="spellStart"/>
      <w:r>
        <w:t>ii</w:t>
      </w:r>
      <w:proofErr w:type="spellEnd"/>
      <w:r>
        <w:t>) La empresa M (adquirida).</w:t>
      </w:r>
    </w:p>
    <w:p w14:paraId="1E7FC95C" w14:textId="77777777" w:rsidR="003D7A74" w:rsidRDefault="00A97A63">
      <w:pPr>
        <w:spacing w:line="360" w:lineRule="auto"/>
        <w:jc w:val="both"/>
      </w:pPr>
      <w:r>
        <w:t>En este tipo de operaciones, cuando una empresa ostenta el control conjunto de otra empresa y decide adquirir su control exclusivo, debe considerarse por un lado a la empresa adquirente y su grupo económico; y, por otro lado, a la empresa adquirida (y de s</w:t>
      </w:r>
      <w:r>
        <w:t>er el caso, las empresas que controla). Esta regla permite evitar la doble contabilización de los ingresos de la empresa adquirida17.</w:t>
      </w:r>
    </w:p>
    <w:p w14:paraId="275C99F4" w14:textId="77777777" w:rsidR="003D7A74" w:rsidRDefault="00A97A63">
      <w:pPr>
        <w:spacing w:line="360" w:lineRule="auto"/>
        <w:jc w:val="both"/>
      </w:pPr>
      <w:r>
        <w:t xml:space="preserve">2.3. Regla de Cálculo N.º 3 aplicable a adquisición de activos </w:t>
      </w:r>
    </w:p>
    <w:p w14:paraId="268ADCB7" w14:textId="77777777" w:rsidR="003D7A74" w:rsidRDefault="00A97A63">
      <w:pPr>
        <w:spacing w:line="360" w:lineRule="auto"/>
        <w:jc w:val="both"/>
      </w:pPr>
      <w:r>
        <w:t xml:space="preserve">¿Qué dice la regla de cálculo según el Reglamento? </w:t>
      </w:r>
    </w:p>
    <w:p w14:paraId="38421F5D" w14:textId="77777777" w:rsidR="003D7A74" w:rsidRDefault="00A97A63">
      <w:pPr>
        <w:spacing w:line="360" w:lineRule="auto"/>
        <w:jc w:val="both"/>
      </w:pPr>
      <w:r>
        <w:t>“Cuand</w:t>
      </w:r>
      <w:r>
        <w:t xml:space="preserve">o la operación corresponda al acto establecido en el inciso d) del numeral 5.1. del artículo 5 de la Ley 31112, se consideran las ventas o ingresos brutos o el valor contable de los activos del agente adquiriente y </w:t>
      </w:r>
      <w:r>
        <w:lastRenderedPageBreak/>
        <w:t>de su grupo económico; y, aquellas ventas</w:t>
      </w:r>
      <w:r>
        <w:t xml:space="preserve"> o ingresos brutos que hayan sido generados por los activos productivos operativos adquiridos o el valor contable de tales activos.”</w:t>
      </w:r>
    </w:p>
    <w:p w14:paraId="5BBA062E" w14:textId="77777777" w:rsidR="003D7A74" w:rsidRDefault="00A97A63">
      <w:pPr>
        <w:spacing w:line="360" w:lineRule="auto"/>
        <w:jc w:val="both"/>
      </w:pPr>
      <w:r>
        <w:t xml:space="preserve">Caso hipotético: Adquisición de activos productivos </w:t>
      </w:r>
    </w:p>
    <w:p w14:paraId="0A8BF2EC" w14:textId="77777777" w:rsidR="003D7A74" w:rsidRDefault="00A97A63">
      <w:pPr>
        <w:spacing w:line="360" w:lineRule="auto"/>
        <w:jc w:val="both"/>
      </w:pPr>
      <w:r>
        <w:t>A es una empresa peruana que se dedica a la fabricación de trajes de s</w:t>
      </w:r>
      <w:r>
        <w:t>eguridad para trabajos en plantas industriales. A está controlada de forma conjunta por R, empresa chilena que realiza actividades económicas en Perú y S, empresa peruana que también realiza actividades económicas en el país. A, a su vez, controla con el 8</w:t>
      </w:r>
      <w:r>
        <w:t xml:space="preserve">0% de participación a Q, una empresa dedicada a la fabricación de trajes de seguridad para trabajos en unidades mineras. </w:t>
      </w:r>
    </w:p>
    <w:p w14:paraId="35F303E7" w14:textId="77777777" w:rsidR="003D7A74" w:rsidRDefault="00A97A63">
      <w:pPr>
        <w:spacing w:line="360" w:lineRule="auto"/>
        <w:jc w:val="both"/>
      </w:pPr>
      <w:r>
        <w:t>Por su parte, B es una empresa que confecciona cierres y cinturones. B tiene dos plantas de producción, una ubicada en el Callao y otr</w:t>
      </w:r>
      <w:r>
        <w:t xml:space="preserve">a en Ate. A su vez, B tiene el 70% de participación en T, una empresa peruana que comercializa calzado18. </w:t>
      </w:r>
    </w:p>
    <w:p w14:paraId="46E9894A" w14:textId="77777777" w:rsidR="003D7A74" w:rsidRDefault="00A97A63">
      <w:pPr>
        <w:spacing w:line="360" w:lineRule="auto"/>
        <w:jc w:val="both"/>
      </w:pPr>
      <w:r>
        <w:t>A está interesada en adquirir una planta de producción de B.</w:t>
      </w:r>
    </w:p>
    <w:p w14:paraId="0844A398" w14:textId="77777777" w:rsidR="003D7A74" w:rsidRDefault="00A97A63">
      <w:pPr>
        <w:spacing w:line="360" w:lineRule="auto"/>
        <w:jc w:val="both"/>
      </w:pPr>
      <w:r>
        <w:t>La operación se graficaría de la siguiente forma:</w:t>
      </w:r>
    </w:p>
    <w:p w14:paraId="4C44AB2D" w14:textId="77777777" w:rsidR="003D7A74" w:rsidRDefault="00A97A63">
      <w:pPr>
        <w:spacing w:line="360" w:lineRule="auto"/>
        <w:jc w:val="both"/>
      </w:pPr>
      <w:r>
        <w:rPr>
          <w:noProof/>
        </w:rPr>
        <w:drawing>
          <wp:inline distT="0" distB="0" distL="0" distR="0" wp14:anchorId="5A8C2641" wp14:editId="4DA462C1">
            <wp:extent cx="4582164" cy="2886478"/>
            <wp:effectExtent l="0" t="0" r="0" b="0"/>
            <wp:docPr id="841503285" name="image1.png" descr="IMAGEN LA OPERACION GRAFICA DE UNA PLANTA DE PRODUCCION EN ATE"/>
            <wp:cNvGraphicFramePr/>
            <a:graphic xmlns:a="http://schemas.openxmlformats.org/drawingml/2006/main">
              <a:graphicData uri="http://schemas.openxmlformats.org/drawingml/2006/picture">
                <pic:pic xmlns:pic="http://schemas.openxmlformats.org/drawingml/2006/picture">
                  <pic:nvPicPr>
                    <pic:cNvPr id="0" name="image1.png" descr="IMAGEN LA OPERACION GRAFICA DE UNA PLANTA DE PRODUCCION EN ATE"/>
                    <pic:cNvPicPr preferRelativeResize="0"/>
                  </pic:nvPicPr>
                  <pic:blipFill>
                    <a:blip r:embed="rId7"/>
                    <a:srcRect/>
                    <a:stretch>
                      <a:fillRect/>
                    </a:stretch>
                  </pic:blipFill>
                  <pic:spPr>
                    <a:xfrm>
                      <a:off x="0" y="0"/>
                      <a:ext cx="4582164" cy="2886478"/>
                    </a:xfrm>
                    <a:prstGeom prst="rect">
                      <a:avLst/>
                    </a:prstGeom>
                    <a:ln/>
                  </pic:spPr>
                </pic:pic>
              </a:graphicData>
            </a:graphic>
          </wp:inline>
        </w:drawing>
      </w:r>
    </w:p>
    <w:p w14:paraId="0167B697" w14:textId="77777777" w:rsidR="003D7A74" w:rsidRDefault="00A97A63">
      <w:pPr>
        <w:spacing w:line="360" w:lineRule="auto"/>
        <w:jc w:val="both"/>
      </w:pPr>
      <w:r>
        <w:t>Siguiendo las reglas establecidas po</w:t>
      </w:r>
      <w:r>
        <w:t xml:space="preserve">r el Reglamento, para el presente caso deberá considerarse las ventas, ingresos, o activos de: </w:t>
      </w:r>
    </w:p>
    <w:p w14:paraId="02D47F26" w14:textId="77777777" w:rsidR="003D7A74" w:rsidRDefault="00A97A63">
      <w:pPr>
        <w:spacing w:line="360" w:lineRule="auto"/>
        <w:jc w:val="both"/>
      </w:pPr>
      <w:r>
        <w:t xml:space="preserve">(i) La empresa A (adquirente) y las empresas Q, R y S (que conforman el grupo económico de A). </w:t>
      </w:r>
    </w:p>
    <w:p w14:paraId="2D1E8270" w14:textId="77777777" w:rsidR="003D7A74" w:rsidRDefault="00A97A63">
      <w:pPr>
        <w:spacing w:line="360" w:lineRule="auto"/>
        <w:jc w:val="both"/>
      </w:pPr>
      <w:r>
        <w:t>(</w:t>
      </w:r>
      <w:proofErr w:type="spellStart"/>
      <w:r>
        <w:t>ii</w:t>
      </w:r>
      <w:proofErr w:type="spellEnd"/>
      <w:r>
        <w:t>) La planta objeto de adquisición. Como se puede advertir, en</w:t>
      </w:r>
      <w:r>
        <w:t xml:space="preserve"> cuanto a B solo se considerarán los ingresos o ventas generados por la planta adquirida o, de ser el caso, su valor contable. No se contabilizarán las ventas, ingresos o activos totales de B ni tampoco de su grupo económico (T).</w:t>
      </w:r>
    </w:p>
    <w:p w14:paraId="067ED96B" w14:textId="77777777" w:rsidR="003D7A74" w:rsidRDefault="00A97A63">
      <w:pPr>
        <w:spacing w:line="360" w:lineRule="auto"/>
        <w:jc w:val="both"/>
      </w:pPr>
      <w:r>
        <w:lastRenderedPageBreak/>
        <w:t>2.4. Operaciones Sucesivas</w:t>
      </w:r>
      <w:r>
        <w:t xml:space="preserve"> </w:t>
      </w:r>
    </w:p>
    <w:p w14:paraId="4B679714" w14:textId="77777777" w:rsidR="003D7A74" w:rsidRDefault="00A97A63">
      <w:pPr>
        <w:spacing w:line="360" w:lineRule="auto"/>
        <w:jc w:val="both"/>
      </w:pPr>
      <w:r>
        <w:t xml:space="preserve">Por último, la Ley contempla la obligación de notificar como única operación de concentración empresarial al conjunto de actos u operaciones realizadas entre los mismos agentes económicos en el plazo de dos (2) años19. Tal situación comprende a aquellas </w:t>
      </w:r>
      <w:r>
        <w:t>operaciones realizadas entre las mismas empresas participantes directamente en dichas operaciones o entre las empresas de sus respectivos grupos económicos.</w:t>
      </w:r>
    </w:p>
    <w:p w14:paraId="601BBB1C" w14:textId="77777777" w:rsidR="003D7A74" w:rsidRDefault="00A97A63">
      <w:pPr>
        <w:spacing w:line="360" w:lineRule="auto"/>
        <w:jc w:val="both"/>
      </w:pPr>
      <w:r>
        <w:t xml:space="preserve">Sobre este punto, es necesario resaltar que el concepto de operación de concentración no puede ser </w:t>
      </w:r>
      <w:r>
        <w:t>entendido siempre como un evento que se concreta de manera individual y aislada en el tiempo. En efecto, diversas transacciones pueden tener lugar en etapas o tramos, que ocurren de manera separada en el tiempo, pero que responden a una misma operación est</w:t>
      </w:r>
      <w:r>
        <w:t>ructurada de manera escalonada.</w:t>
      </w:r>
    </w:p>
    <w:p w14:paraId="22E6056E" w14:textId="77777777" w:rsidR="003D7A74" w:rsidRDefault="00A97A63">
      <w:pPr>
        <w:spacing w:line="360" w:lineRule="auto"/>
        <w:jc w:val="both"/>
      </w:pPr>
      <w:r>
        <w:t>También puede suceder que determinadas operaciones sean divididas con la finalidad de evadir la obligación de notificación previa, aislando actos que en la práctica responden a una misma transacción, pero que individualmente considerados podrían no encontr</w:t>
      </w:r>
      <w:r>
        <w:t>arse sujetos a notificación.</w:t>
      </w:r>
    </w:p>
    <w:p w14:paraId="6D6B01C8" w14:textId="77777777" w:rsidR="003D7A74" w:rsidRDefault="00A97A63">
      <w:pPr>
        <w:spacing w:line="360" w:lineRule="auto"/>
        <w:jc w:val="both"/>
      </w:pPr>
      <w:r>
        <w:t>Con el fin de evaluar operaciones estructuradas de forma escalonada y evitar además que los agentes económicos eludan la obligación de notificar una operación sujeta a control, las distintas jurisdicciones a nivel internacional</w:t>
      </w:r>
      <w:r>
        <w:t xml:space="preserve"> han previsto en sus normativas, reglas que permitan evaluar como una sola transacción, el conjunto de operaciones llevadas a cabo en un determinado periodo por las mismas partes (considerando para tales efectos a los agentes que intervienen directamente e</w:t>
      </w:r>
      <w:r>
        <w:t>n la operación como a las empresas de sus respectivos grupos económicos)20. Similar tratamiento es seguido por jurisdicciones como Estados Unidos, Reino Unido, Unión Europea, Chile, entro otros. La justificación expuesta en el presente acápite fue recogida</w:t>
      </w:r>
      <w:r>
        <w:t xml:space="preserve"> en la Exposición de Motivos del Decreto Legislativo 1510, antecedente de la Ley. </w:t>
      </w:r>
    </w:p>
    <w:p w14:paraId="3D305808" w14:textId="77777777" w:rsidR="003D7A74" w:rsidRDefault="00A97A63">
      <w:pPr>
        <w:spacing w:line="360" w:lineRule="auto"/>
        <w:jc w:val="both"/>
      </w:pPr>
      <w:r>
        <w:t>Es por dichos motivos, y en concordancia con las mejores prácticas internacionales, que la Ley 31112 decidió incluir una regla que permita a la autoridad de competencia eval</w:t>
      </w:r>
      <w:r>
        <w:t xml:space="preserve">uar operaciones sucesivas realizadas en el plazo de dos años21. </w:t>
      </w:r>
    </w:p>
    <w:p w14:paraId="02AE06D9" w14:textId="77777777" w:rsidR="003D7A74" w:rsidRDefault="00A97A63">
      <w:pPr>
        <w:spacing w:line="360" w:lineRule="auto"/>
        <w:jc w:val="both"/>
      </w:pPr>
      <w:r>
        <w:t>En lo concerniente a las reglas para el cálculo de umbrales aplicables a este tipo de operaciones, el Reglamento establece que serán las mismas que se han desarrollado para operaciones indepe</w:t>
      </w:r>
      <w:r>
        <w:t>ndientes.</w:t>
      </w:r>
    </w:p>
    <w:p w14:paraId="6949616F" w14:textId="77777777" w:rsidR="003D7A74" w:rsidRDefault="00A97A63">
      <w:pPr>
        <w:spacing w:line="360" w:lineRule="auto"/>
        <w:jc w:val="both"/>
      </w:pPr>
      <w:r>
        <w:t>De este modo, siendo que las operaciones sucesivas son consideradas como una sola operación, los factores para el cálculo de los umbrales deben ser utilizados alternativamente, tal como ocurre en el caso de operaciones independientes. En ese sent</w:t>
      </w:r>
      <w:r>
        <w:t>ido, las empresas deberán notificar la operación de concentración empresarial si: (i) los ingresos o ventas de los agentes económicos en todas las operaciones sucesivas alcanzan el umbral conjunto e individual; o, (</w:t>
      </w:r>
      <w:proofErr w:type="spellStart"/>
      <w:r>
        <w:t>ii</w:t>
      </w:r>
      <w:proofErr w:type="spellEnd"/>
      <w:r>
        <w:t>) el valor de los activos de los agente</w:t>
      </w:r>
      <w:r>
        <w:t>s económicos en todas las operaciones sucesivas alcanza el umbral conjunto e individual. No será posible utilizar un factor de cálculo para una operación, y otro factor de cálculo para la siguiente.</w:t>
      </w:r>
    </w:p>
    <w:p w14:paraId="3F2BDEC8" w14:textId="77777777" w:rsidR="003D7A74" w:rsidRDefault="00A97A63">
      <w:pPr>
        <w:spacing w:line="360" w:lineRule="auto"/>
        <w:jc w:val="both"/>
      </w:pPr>
      <w:r>
        <w:lastRenderedPageBreak/>
        <w:t xml:space="preserve">Caso hipotético: </w:t>
      </w:r>
    </w:p>
    <w:p w14:paraId="110E6804" w14:textId="77777777" w:rsidR="003D7A74" w:rsidRDefault="00A97A63">
      <w:pPr>
        <w:spacing w:line="360" w:lineRule="auto"/>
        <w:jc w:val="both"/>
      </w:pPr>
      <w:r>
        <w:t>Retomando el ejemplo anterior, imaginem</w:t>
      </w:r>
      <w:r>
        <w:t xml:space="preserve">os que A adquiere una de las plantas de B pero ni los ingresos generados por esa planta ni su valor contable alcanzan los umbrales legales. Luego, al año siguiente, Q decide adquirir una segunda planta de B. Esta segunda operación, por </w:t>
      </w:r>
      <w:proofErr w:type="spellStart"/>
      <w:r>
        <w:t>si</w:t>
      </w:r>
      <w:proofErr w:type="spellEnd"/>
      <w:r>
        <w:t xml:space="preserve"> misma, tampoco al</w:t>
      </w:r>
      <w:r>
        <w:t xml:space="preserve">canza los umbrales legales. Sin embargo, al tratarse de una operación entre las mismas partes en un plazo de dos años, el Reglamento precisa que las dos operaciones deben considerarse como una sola y, por tanto, deben contabilizarse conjuntamente a fin de </w:t>
      </w:r>
      <w:r>
        <w:t>determinar si alcanzan los umbrales de notificación. La operación se graficaría de la siguiente manera:</w:t>
      </w:r>
    </w:p>
    <w:p w14:paraId="70B90E42" w14:textId="77777777" w:rsidR="003D7A74" w:rsidRDefault="00A97A63">
      <w:pPr>
        <w:spacing w:line="360" w:lineRule="auto"/>
        <w:jc w:val="both"/>
      </w:pPr>
      <w:r>
        <w:t xml:space="preserve">Siguiendo las reglas establecidas por el Reglamento, para el presente caso deberá considerarse las ventas, ingresos, o valor de los activos de: (i) Las </w:t>
      </w:r>
      <w:r>
        <w:t>empresas A y Q (empresas adquirentes), y las empresas R y S (que forman parte del grupo económico de A y Q). Conforme lo establecido por la Ley, se deberá tener en cuenta las ventas, ingresos, o valor de los activos de tales empresas, correspondientes al a</w:t>
      </w:r>
      <w:r>
        <w:t>ño fiscal anterior a la notificación de la operación. (</w:t>
      </w:r>
      <w:proofErr w:type="spellStart"/>
      <w:r>
        <w:t>ii</w:t>
      </w:r>
      <w:proofErr w:type="spellEnd"/>
      <w:r>
        <w:t>) Las dos plantas objeto de adquisición. Conforme lo establecido por la Ley, se deberá considerar las ventas o ingresos generados por las dos plantas el año fiscal anterior a la notificación; o, su v</w:t>
      </w:r>
      <w:r>
        <w:t>alor contable en dicho periodo.</w:t>
      </w:r>
    </w:p>
    <w:p w14:paraId="0664EBA6" w14:textId="77777777" w:rsidR="003D7A74" w:rsidRDefault="00A97A63">
      <w:pPr>
        <w:spacing w:line="360" w:lineRule="auto"/>
        <w:jc w:val="both"/>
      </w:pPr>
      <w:r>
        <w:t xml:space="preserve">3. PARÁMETROS DE CÁLCULO </w:t>
      </w:r>
    </w:p>
    <w:p w14:paraId="68B0E18B" w14:textId="77777777" w:rsidR="003D7A74" w:rsidRDefault="00A97A63">
      <w:pPr>
        <w:spacing w:line="360" w:lineRule="auto"/>
        <w:jc w:val="both"/>
      </w:pPr>
      <w:r>
        <w:t xml:space="preserve">Conforme se adelantó en el capítulo 1 de los presentes Lineamientos, los umbrales de notificación deben ser calculados en base a dos factores: (a) los ingresos o ventas generados en el país por las </w:t>
      </w:r>
      <w:r>
        <w:t xml:space="preserve">empresas involucradas en la operación de concentración empresarial; o, (b) el valor de los activos en el país de las empresas involucradas en la operación de concentración empresarial. Sobre el particular, corresponde precisar las características de estos </w:t>
      </w:r>
      <w:r>
        <w:t>factores para el cálculo de los umbrales.</w:t>
      </w:r>
    </w:p>
    <w:p w14:paraId="64C99212" w14:textId="77777777" w:rsidR="003D7A74" w:rsidRDefault="00A97A63">
      <w:pPr>
        <w:spacing w:line="360" w:lineRule="auto"/>
        <w:jc w:val="both"/>
      </w:pPr>
      <w:r>
        <w:t xml:space="preserve">3.1 Ingresos y/o ventas </w:t>
      </w:r>
    </w:p>
    <w:p w14:paraId="23F5B10E" w14:textId="77777777" w:rsidR="003D7A74" w:rsidRDefault="00A97A63">
      <w:pPr>
        <w:spacing w:line="360" w:lineRule="auto"/>
        <w:jc w:val="both"/>
      </w:pPr>
      <w:r>
        <w:t xml:space="preserve">3.1.1 ¿Qué conceptos debo considerar? </w:t>
      </w:r>
    </w:p>
    <w:p w14:paraId="23962ADF" w14:textId="77777777" w:rsidR="003D7A74" w:rsidRDefault="00A97A63">
      <w:pPr>
        <w:spacing w:line="360" w:lineRule="auto"/>
        <w:jc w:val="both"/>
      </w:pPr>
      <w:r>
        <w:t>La Ley indica que uno de los factores a considerar para el cálculo de los umbrales es el valor de las “ventas o ingresos brutos” de las empresas involucradas. Es importante resaltar que la norma no vincula tal concepto a alguna definición específica compre</w:t>
      </w:r>
      <w:r>
        <w:t>ndida en otras leyes, de modo tal que los presentes Lineamientos pueden establecer definiciones propias en función de la finalidad particular de los umbrales de notificación en el marco de la Ley: identificar, de la forma más certera y real posible, el pod</w:t>
      </w:r>
      <w:r>
        <w:t>er económico de las empresas involucradas en las operaciones notificadas y, con ello, la dimensión de tales transacciones.</w:t>
      </w:r>
    </w:p>
    <w:p w14:paraId="52F77D1C" w14:textId="77777777" w:rsidR="003D7A74" w:rsidRDefault="00A97A63">
      <w:pPr>
        <w:spacing w:line="360" w:lineRule="auto"/>
        <w:jc w:val="both"/>
      </w:pPr>
      <w:r>
        <w:t>En tal sentido, corresponde establecer como regla general que el concepto de “ingresos o ventas brutas” comprende todos aquellos ingr</w:t>
      </w:r>
      <w:r>
        <w:t xml:space="preserve">esos o ventas relacionados al giro habitual del negocio. </w:t>
      </w:r>
    </w:p>
    <w:p w14:paraId="7B877BAD" w14:textId="77777777" w:rsidR="003D7A74" w:rsidRDefault="00A97A63">
      <w:pPr>
        <w:spacing w:line="360" w:lineRule="auto"/>
        <w:jc w:val="both"/>
      </w:pPr>
      <w:r>
        <w:lastRenderedPageBreak/>
        <w:t>Respecto de la noción de “giro habitual del negocio”, se deberá entender todas aquellas actividades que realiza el agente económico de manera ordinaria para generar ingresos. De este modo, quedan ex</w:t>
      </w:r>
      <w:r>
        <w:t xml:space="preserve">cluidos ingresos excepcionales o extraordinarios que no provengan del giro habitual del negocio de la empresa22. Para determinar qué actividades califican como ordinarias, se podrá tomar como referencia el objeto social y/o las actividades comprendidas en </w:t>
      </w:r>
      <w:r>
        <w:t>el CIIU23 del agente económico en cuestión.</w:t>
      </w:r>
    </w:p>
    <w:p w14:paraId="17A09A41" w14:textId="77777777" w:rsidR="003D7A74" w:rsidRDefault="00A97A63">
      <w:pPr>
        <w:spacing w:line="360" w:lineRule="auto"/>
        <w:jc w:val="both"/>
      </w:pPr>
      <w:r>
        <w:t xml:space="preserve">Asimismo, corresponde precisar que se excluirán del cálculo de ingresos y/o ventas, es decir, no se contabilizarán como ingresos: (i) aquellas devoluciones, ofertas o descuentos efectuados por las empresas en la </w:t>
      </w:r>
      <w:r>
        <w:t>venta de sus productos o en la prestación de sus servicios; (</w:t>
      </w:r>
      <w:proofErr w:type="spellStart"/>
      <w:r>
        <w:t>ii</w:t>
      </w:r>
      <w:proofErr w:type="spellEnd"/>
      <w:r>
        <w:t>) aquellos impuestos que, por disposición legal, hayan sido obtenidos por las empresas en su calidad de agentes retenedores o recaudadores24; y, (</w:t>
      </w:r>
      <w:proofErr w:type="spellStart"/>
      <w:r>
        <w:t>iii</w:t>
      </w:r>
      <w:proofErr w:type="spellEnd"/>
      <w:r>
        <w:t>) aquellos importes generados por ventas o p</w:t>
      </w:r>
      <w:r>
        <w:t>restaciones dentro del mismo grupo económico.</w:t>
      </w:r>
    </w:p>
    <w:p w14:paraId="074A7394" w14:textId="77777777" w:rsidR="003D7A74" w:rsidRDefault="00A97A63">
      <w:pPr>
        <w:spacing w:line="360" w:lineRule="auto"/>
        <w:jc w:val="both"/>
      </w:pPr>
      <w:r>
        <w:t xml:space="preserve">Caso hipotético: </w:t>
      </w:r>
    </w:p>
    <w:p w14:paraId="4E409E93" w14:textId="77777777" w:rsidR="003D7A74" w:rsidRDefault="00A97A63">
      <w:pPr>
        <w:spacing w:line="360" w:lineRule="auto"/>
        <w:jc w:val="both"/>
      </w:pPr>
      <w:r>
        <w:t xml:space="preserve">Consulta 1: </w:t>
      </w:r>
    </w:p>
    <w:p w14:paraId="201054E1" w14:textId="77777777" w:rsidR="003D7A74" w:rsidRDefault="00A97A63">
      <w:pPr>
        <w:spacing w:line="360" w:lineRule="auto"/>
        <w:jc w:val="both"/>
      </w:pPr>
      <w:r>
        <w:t>A es una exitosa empresa peruana que se dedica a la comercialización de abarrotes en el país. Dada la coyuntura, en el año 2020 decidió focalizar sus ventas vía online y, por tant</w:t>
      </w:r>
      <w:r>
        <w:t>o, alquilar los locales que posee en Lima. Asimismo, como parte de su plan de expansión está evaluando absorber a la empresa B, dedicada a la producción de frutas y verduras en la costa peruana. A consulta al Indecopi si los importes obtenidos por el alqui</w:t>
      </w:r>
      <w:r>
        <w:t xml:space="preserve">ler de sus locales deben ser incluidos como ingresos para efectos del cálculo de umbrales. </w:t>
      </w:r>
    </w:p>
    <w:p w14:paraId="2D950FA9" w14:textId="77777777" w:rsidR="003D7A74" w:rsidRDefault="00A97A63">
      <w:pPr>
        <w:spacing w:line="360" w:lineRule="auto"/>
        <w:jc w:val="both"/>
      </w:pPr>
      <w:r>
        <w:t>Respuesta: Si bien estos importes son parte de los ingresos anuales de A, no están relacionados a su giro habitual de negocio. Por ello, para estos efectos no deber</w:t>
      </w:r>
      <w:r>
        <w:t>án ser incluidos en el cálculo.</w:t>
      </w:r>
    </w:p>
    <w:p w14:paraId="4A868AA7" w14:textId="77777777" w:rsidR="003D7A74" w:rsidRDefault="00A97A63">
      <w:pPr>
        <w:spacing w:line="360" w:lineRule="auto"/>
        <w:jc w:val="both"/>
      </w:pPr>
      <w:r>
        <w:t xml:space="preserve">Consulta 2: </w:t>
      </w:r>
    </w:p>
    <w:p w14:paraId="268214B7" w14:textId="77777777" w:rsidR="003D7A74" w:rsidRDefault="00A97A63">
      <w:pPr>
        <w:spacing w:line="360" w:lineRule="auto"/>
        <w:jc w:val="both"/>
      </w:pPr>
      <w:r>
        <w:t>Adicionalmente, A decidió aprovechar la oportunidad de invertir en una serie de bonos en el año 2020. Estos bonos le dan un interés fijo trimestral en forma de cupones. Al respecto, A consulta al Indecopi si est</w:t>
      </w:r>
      <w:r>
        <w:t xml:space="preserve">os ingresos deberán ser considerados para efecto del cálculo de umbrales. </w:t>
      </w:r>
    </w:p>
    <w:p w14:paraId="67618778" w14:textId="77777777" w:rsidR="003D7A74" w:rsidRDefault="00A97A63">
      <w:pPr>
        <w:spacing w:line="360" w:lineRule="auto"/>
        <w:jc w:val="both"/>
      </w:pPr>
      <w:r>
        <w:t>Respuesta: Al igual que los ingresos relacionados al alquiler de locales, los ingresos provenientes de esta inversión financiera no están relacionados al giro habitual del negocio d</w:t>
      </w:r>
      <w:r>
        <w:t>e A, que es la comercialización de abarrotes. Por ello, no deben ser incluidos en el cálculo.</w:t>
      </w:r>
    </w:p>
    <w:p w14:paraId="23970261" w14:textId="77777777" w:rsidR="003D7A74" w:rsidRDefault="00A97A63">
      <w:pPr>
        <w:spacing w:line="360" w:lineRule="auto"/>
        <w:jc w:val="both"/>
      </w:pPr>
      <w:r>
        <w:t xml:space="preserve">3.1.2 Nexo Geográfico </w:t>
      </w:r>
    </w:p>
    <w:p w14:paraId="7342F969" w14:textId="77777777" w:rsidR="003D7A74" w:rsidRDefault="00A97A63">
      <w:pPr>
        <w:spacing w:line="360" w:lineRule="auto"/>
        <w:jc w:val="both"/>
      </w:pPr>
      <w:r>
        <w:t>La Ley y el Reglamento señalan que las ventas e ingresos que deben ser considerados en el cálculo de los umbrales son aquellos alcanzados o</w:t>
      </w:r>
      <w:r>
        <w:t xml:space="preserve"> generados en el país. La referencia al país implica que la norma se aplica exclusivamente a aquellos actos que tengan un nexo geográfico con el Perú.</w:t>
      </w:r>
    </w:p>
    <w:p w14:paraId="6B67177F" w14:textId="77777777" w:rsidR="003D7A74" w:rsidRDefault="00A97A63">
      <w:pPr>
        <w:spacing w:line="360" w:lineRule="auto"/>
        <w:jc w:val="both"/>
      </w:pPr>
      <w:r>
        <w:lastRenderedPageBreak/>
        <w:t xml:space="preserve">Por tanto, es necesario precisar qué ventas e ingresos se considerarán como realizados u obtenidos en el </w:t>
      </w:r>
      <w:r>
        <w:t xml:space="preserve">Perú, pues solo ellos deberán ser contemplados en el cálculo. </w:t>
      </w:r>
    </w:p>
    <w:p w14:paraId="6CFD41C5" w14:textId="77777777" w:rsidR="003D7A74" w:rsidRDefault="00A97A63">
      <w:pPr>
        <w:spacing w:line="360" w:lineRule="auto"/>
        <w:jc w:val="both"/>
      </w:pPr>
      <w:r>
        <w:t>En principio, los ingresos obtenidos de las ventas de productos o prestación de servicios de una empresa deberán asignarse al lugar donde se ha producido la competencia con otros posibles prove</w:t>
      </w:r>
      <w:r>
        <w:t>edores. De este modo, por regla general, en la venta de bienes o productos, este lugar corresponderá usualmente al lugar donde se ubica el cliente. Por su parte, en la contratación de servicios, este lugar corresponderá generalmente al lugar donde se reali</w:t>
      </w:r>
      <w:r>
        <w:t>za su prestación.</w:t>
      </w:r>
    </w:p>
    <w:p w14:paraId="4AD10C4A" w14:textId="77777777" w:rsidR="003D7A74" w:rsidRDefault="00A97A63">
      <w:pPr>
        <w:spacing w:line="360" w:lineRule="auto"/>
        <w:jc w:val="both"/>
      </w:pPr>
      <w:r>
        <w:t>Por tanto, si el bien o producto es entregado a un cliente ubicado en Perú, los ingresos que resulten de la venta de dicho bien o producto estarán incluidos en el cálculo de los umbrales. En cuanto a los servicios, si los servicios son pr</w:t>
      </w:r>
      <w:r>
        <w:t>estados en Perú, tales ingresos deben ser contabilizados.</w:t>
      </w:r>
    </w:p>
    <w:p w14:paraId="50D1581C" w14:textId="77777777" w:rsidR="003D7A74" w:rsidRDefault="00A97A63">
      <w:pPr>
        <w:spacing w:line="360" w:lineRule="auto"/>
        <w:jc w:val="both"/>
      </w:pPr>
      <w:r>
        <w:t xml:space="preserve">Caso hipotético: </w:t>
      </w:r>
    </w:p>
    <w:p w14:paraId="0A2E133A" w14:textId="77777777" w:rsidR="003D7A74" w:rsidRDefault="00A97A63">
      <w:pPr>
        <w:spacing w:line="360" w:lineRule="auto"/>
        <w:jc w:val="both"/>
      </w:pPr>
      <w:r>
        <w:t>Consulta: Las empresas A y B se están fusionando. Ambas operan en el mercado peruano. A tiene clientes ubicados en el país y clientes extranjeros (a los cuales exporta sus producto</w:t>
      </w:r>
      <w:r>
        <w:t xml:space="preserve">s). A consulta – si para efectos de cálculo de umbrales – si debe incluir todos sus ingresos por la venta de sus productos o solo aquellos que provengan de clientes ubicados en el país. </w:t>
      </w:r>
    </w:p>
    <w:p w14:paraId="24A43E83" w14:textId="77777777" w:rsidR="003D7A74" w:rsidRDefault="00A97A63">
      <w:pPr>
        <w:spacing w:line="360" w:lineRule="auto"/>
        <w:jc w:val="both"/>
      </w:pPr>
      <w:r>
        <w:t>Respuesta: Solo se deberán considerar los ingresos provenientes de cl</w:t>
      </w:r>
      <w:r>
        <w:t>ientes ubicados en el país.</w:t>
      </w:r>
    </w:p>
    <w:p w14:paraId="4BFEE209" w14:textId="77777777" w:rsidR="003D7A74" w:rsidRDefault="00A97A63">
      <w:pPr>
        <w:spacing w:line="360" w:lineRule="auto"/>
        <w:jc w:val="both"/>
      </w:pPr>
      <w:r>
        <w:t>Adicionalmente, existen supuestos particulares que vale la pena mencionar, donde la localización de las ventas o ingresos de los agentes no es tan clara o justifica establecer reglas especiales. Para estos casos, se deberán segu</w:t>
      </w:r>
      <w:r>
        <w:t>ir las reglas de localización que se señalan a continuación:</w:t>
      </w:r>
    </w:p>
    <w:p w14:paraId="0C3240D3" w14:textId="77777777" w:rsidR="003D7A74" w:rsidRDefault="00A97A63">
      <w:pPr>
        <w:spacing w:line="360" w:lineRule="auto"/>
        <w:jc w:val="both"/>
      </w:pPr>
      <w:r>
        <w:t>a. Provisión de servicios: Como regla general, para efectos de localización de los ingresos o ventas, se deberá considerar el lugar donde se presta el servicio, al margen de su lugar de contratac</w:t>
      </w:r>
      <w:r>
        <w:t xml:space="preserve">ión. Si no se pudiera determinar con certeza dónde se provee el servicio, se considerará el lugar de ubicación o facturación del cliente; tal es el caso, por ejemplo, de la contratación de servicios de </w:t>
      </w:r>
      <w:proofErr w:type="spellStart"/>
      <w:r>
        <w:t>streaming</w:t>
      </w:r>
      <w:proofErr w:type="spellEnd"/>
      <w:r>
        <w:t xml:space="preserve"> o servicios tecnológicos online.</w:t>
      </w:r>
    </w:p>
    <w:p w14:paraId="7EED920D" w14:textId="77777777" w:rsidR="003D7A74" w:rsidRDefault="00A97A63">
      <w:pPr>
        <w:spacing w:line="360" w:lineRule="auto"/>
        <w:jc w:val="both"/>
      </w:pPr>
      <w:r>
        <w:t>b. Transpor</w:t>
      </w:r>
      <w:r>
        <w:t xml:space="preserve">te internacional: En este supuesto, tanto de transporte de carga como de pasajeros, se debe considerar como ‘realizadas en el Perú’ las prestaciones de servicio que tienen como origen o destino final al Perú. </w:t>
      </w:r>
    </w:p>
    <w:p w14:paraId="7B08EDC9" w14:textId="77777777" w:rsidR="003D7A74" w:rsidRDefault="00A97A63">
      <w:pPr>
        <w:spacing w:line="360" w:lineRule="auto"/>
        <w:jc w:val="both"/>
      </w:pPr>
      <w:r>
        <w:t>c. Ventas de paquetes turísticos: En el caso d</w:t>
      </w:r>
      <w:r>
        <w:t xml:space="preserve">e la contratación de paquetes turísticos en Perú para ser prestados en el extranjero, el servicio comienza con la venta del paquete turístico a través de una agencia de viajes en la localidad del cliente y la competencia entre las agencias de viajes tiene </w:t>
      </w:r>
      <w:r>
        <w:t xml:space="preserve">lugar en una determinada localidad, pese a que el servicio puede prestarse en locaciones diferentes a Perú. En este escenario, se considerará el lugar de ubicación o facturación del cliente. Cabe precisar que, para el caso de las agencias de </w:t>
      </w:r>
      <w:r>
        <w:lastRenderedPageBreak/>
        <w:t>viajes, al ser</w:t>
      </w:r>
      <w:r>
        <w:t xml:space="preserve"> empresas que actúan como intermediarios en la venta de los paquetes turísticos, deberá contabilizarse como ingresos, solo las comisiones obtenidas de las ventas de tales paquetes.</w:t>
      </w:r>
    </w:p>
    <w:p w14:paraId="20973BF8" w14:textId="77777777" w:rsidR="003D7A74" w:rsidRDefault="00A97A63">
      <w:pPr>
        <w:spacing w:line="360" w:lineRule="auto"/>
        <w:jc w:val="both"/>
      </w:pPr>
      <w:r>
        <w:t xml:space="preserve">d. Ventas por Internet: En los casos de venta de bienes por internet donde </w:t>
      </w:r>
      <w:r>
        <w:t>el lugar en el que cliente está ubicado es distinto al lugar de entrega, prevalecerá el lugar de entrega.</w:t>
      </w:r>
    </w:p>
    <w:p w14:paraId="64E46DFC" w14:textId="77777777" w:rsidR="003D7A74" w:rsidRDefault="00A97A63">
      <w:pPr>
        <w:spacing w:line="360" w:lineRule="auto"/>
        <w:jc w:val="both"/>
      </w:pPr>
      <w:r>
        <w:t xml:space="preserve">Regla general: </w:t>
      </w:r>
    </w:p>
    <w:p w14:paraId="2A5C5509" w14:textId="77777777" w:rsidR="003D7A74" w:rsidRDefault="00A97A63">
      <w:pPr>
        <w:spacing w:line="360" w:lineRule="auto"/>
        <w:jc w:val="both"/>
      </w:pPr>
      <w:r>
        <w:t xml:space="preserve">Venta de bienes o productos → Lugar donde se ubica el cliente </w:t>
      </w:r>
    </w:p>
    <w:p w14:paraId="3336F0BE" w14:textId="77777777" w:rsidR="003D7A74" w:rsidRDefault="00A97A63">
      <w:pPr>
        <w:spacing w:line="360" w:lineRule="auto"/>
        <w:jc w:val="both"/>
      </w:pPr>
      <w:r>
        <w:t>Contratación de servicios → Lugar donde se realiza la prestación del se</w:t>
      </w:r>
      <w:r>
        <w:t>rvicio</w:t>
      </w:r>
    </w:p>
    <w:p w14:paraId="5DBE84E2" w14:textId="77777777" w:rsidR="003D7A74" w:rsidRDefault="00A97A63">
      <w:pPr>
        <w:spacing w:line="360" w:lineRule="auto"/>
        <w:jc w:val="both"/>
      </w:pPr>
      <w:r>
        <w:t>Reglas específicas:</w:t>
      </w:r>
    </w:p>
    <w:p w14:paraId="70FCC676" w14:textId="77777777" w:rsidR="003D7A74" w:rsidRDefault="00A97A63">
      <w:pPr>
        <w:spacing w:line="360" w:lineRule="auto"/>
        <w:jc w:val="both"/>
      </w:pPr>
      <w:r>
        <w:t>1) Cuando no se pueda determinar el lugar de provisión de servicio (</w:t>
      </w:r>
      <w:proofErr w:type="spellStart"/>
      <w:r>
        <w:t>eg</w:t>
      </w:r>
      <w:proofErr w:type="spellEnd"/>
      <w:r>
        <w:t xml:space="preserve">. Servicio de </w:t>
      </w:r>
      <w:proofErr w:type="spellStart"/>
      <w:r>
        <w:t>streaming</w:t>
      </w:r>
      <w:proofErr w:type="spellEnd"/>
      <w:r>
        <w:t xml:space="preserve"> o tecnologías online).</w:t>
      </w:r>
    </w:p>
    <w:p w14:paraId="2C56A071" w14:textId="77777777" w:rsidR="003D7A74" w:rsidRDefault="00A97A63">
      <w:pPr>
        <w:spacing w:line="360" w:lineRule="auto"/>
        <w:jc w:val="both"/>
      </w:pPr>
      <w:r>
        <w:t>2) Transporte internacional.</w:t>
      </w:r>
    </w:p>
    <w:p w14:paraId="1255E765" w14:textId="77777777" w:rsidR="003D7A74" w:rsidRDefault="00A97A63">
      <w:pPr>
        <w:spacing w:line="360" w:lineRule="auto"/>
        <w:jc w:val="both"/>
      </w:pPr>
      <w:r>
        <w:t>3) Ventas de paquetes turísticos.</w:t>
      </w:r>
    </w:p>
    <w:p w14:paraId="049AC717" w14:textId="77777777" w:rsidR="003D7A74" w:rsidRDefault="00A97A63">
      <w:pPr>
        <w:spacing w:line="360" w:lineRule="auto"/>
        <w:jc w:val="both"/>
      </w:pPr>
      <w:r>
        <w:t>4) Ventas por Internet.</w:t>
      </w:r>
    </w:p>
    <w:p w14:paraId="40D47614" w14:textId="77777777" w:rsidR="003D7A74" w:rsidRDefault="00A97A63">
      <w:pPr>
        <w:spacing w:line="360" w:lineRule="auto"/>
        <w:jc w:val="both"/>
      </w:pPr>
      <w:r>
        <w:t xml:space="preserve">3.2 Valor de los activos </w:t>
      </w:r>
    </w:p>
    <w:p w14:paraId="31C2A400" w14:textId="77777777" w:rsidR="003D7A74" w:rsidRDefault="00A97A63">
      <w:pPr>
        <w:spacing w:line="360" w:lineRule="auto"/>
        <w:jc w:val="both"/>
      </w:pPr>
      <w:r>
        <w:t>3.2.1 ¿Qué activos debo co</w:t>
      </w:r>
      <w:r>
        <w:t xml:space="preserve">nsiderar? </w:t>
      </w:r>
    </w:p>
    <w:p w14:paraId="131A5976" w14:textId="77777777" w:rsidR="003D7A74" w:rsidRDefault="00A97A63">
      <w:pPr>
        <w:spacing w:line="360" w:lineRule="auto"/>
        <w:jc w:val="both"/>
      </w:pPr>
      <w:r>
        <w:t xml:space="preserve">El numeral 6.1 del artículo 6 de la Ley establece un parámetro alternativo a las ventas o ingresos para el cálculo de umbrales, relacionado al valor de activos de los agentes económicos involucrados en la operación. </w:t>
      </w:r>
    </w:p>
    <w:p w14:paraId="74E6C5F3" w14:textId="77777777" w:rsidR="003D7A74" w:rsidRDefault="00A97A63">
      <w:pPr>
        <w:spacing w:line="360" w:lineRule="auto"/>
        <w:jc w:val="both"/>
      </w:pPr>
      <w:r>
        <w:t>La Ley y el Reglamento no ha</w:t>
      </w:r>
      <w:r>
        <w:t>cen distinción alguna en el tipo de activos considerados para el cálculo de umbrales, precisando únicamente que debe contabilizarse su valor contable y que deben estar ubicados en el país. Por tanto, se deberá considerar tanto a los activos tangibles29 com</w:t>
      </w:r>
      <w:r>
        <w:t>o a los activos intangibles.</w:t>
      </w:r>
    </w:p>
    <w:p w14:paraId="5445036C" w14:textId="77777777" w:rsidR="003D7A74" w:rsidRDefault="00A97A63">
      <w:pPr>
        <w:spacing w:line="360" w:lineRule="auto"/>
        <w:jc w:val="both"/>
      </w:pPr>
      <w:r>
        <w:t xml:space="preserve">3.2.2 ¿Cómo se determina el valor de los activos? </w:t>
      </w:r>
    </w:p>
    <w:p w14:paraId="76A121B8" w14:textId="77777777" w:rsidR="003D7A74" w:rsidRDefault="00A97A63">
      <w:pPr>
        <w:spacing w:line="360" w:lineRule="auto"/>
        <w:jc w:val="both"/>
      </w:pPr>
      <w:r>
        <w:t>El numeral 4.1 del artículo 4 del Reglamento establece que, para efectos de cálculo de los umbrales, se debe considerar el valor contable de los activos correspondiente al ejer</w:t>
      </w:r>
      <w:r>
        <w:t>cicio fiscal anterior a la notificación de la operación. Esta información estará consignada generalmente en el balance general que forma parte de los estados financieros de las empresas involucradas31. Para el caso particular de los activos intangibles, su</w:t>
      </w:r>
      <w:r>
        <w:t xml:space="preserve"> valor contable suele encontrarse ubicado en la parte “Notas a los estados financieros” de los estados financieros. </w:t>
      </w:r>
    </w:p>
    <w:p w14:paraId="1E9787BB" w14:textId="77777777" w:rsidR="003D7A74" w:rsidRDefault="00A97A63">
      <w:pPr>
        <w:spacing w:line="360" w:lineRule="auto"/>
        <w:jc w:val="both"/>
      </w:pPr>
      <w:r>
        <w:t xml:space="preserve">En el supuesto que los estados financieros no precisen determinados activos en el país de las empresas involucradas (por ejemplo, los intangibles), se valorará cualquier otro documento adicional que indique su </w:t>
      </w:r>
      <w:r>
        <w:lastRenderedPageBreak/>
        <w:t>valor y que hayan sido elaborados de acuerdo c</w:t>
      </w:r>
      <w:r>
        <w:t>on las Normas Internacionales de Contabilidad. De presentarse dudas sobre la valorización de tales activos, los agentes económicos podrán acudir a Consulta Previa con la Secretaría Técnica de la Comisión de Defensa de la Libre Competencia (en adelante, Sec</w:t>
      </w:r>
      <w:r>
        <w:t>retaría Técnica).</w:t>
      </w:r>
    </w:p>
    <w:p w14:paraId="363EDC63" w14:textId="77777777" w:rsidR="003D7A74" w:rsidRDefault="00A97A63">
      <w:pPr>
        <w:spacing w:line="360" w:lineRule="auto"/>
        <w:jc w:val="both"/>
      </w:pPr>
      <w:r>
        <w:t xml:space="preserve">3.2.3 Nexo geográfico </w:t>
      </w:r>
    </w:p>
    <w:p w14:paraId="2499986F" w14:textId="77777777" w:rsidR="003D7A74" w:rsidRDefault="00A97A63">
      <w:pPr>
        <w:spacing w:line="360" w:lineRule="auto"/>
        <w:jc w:val="both"/>
      </w:pPr>
      <w:r>
        <w:t>La Ley establece que los activos que deben ser considerados para el cálculo de umbrales son los activos “en el país”. Es claro que el propósito de la norma fue incluir únicamente a los activos que tengan un nexo geo</w:t>
      </w:r>
      <w:r>
        <w:t xml:space="preserve">gráfico con el país, y, por tanto, puedan generar efectos en el mercado peruano. </w:t>
      </w:r>
    </w:p>
    <w:p w14:paraId="3379A554" w14:textId="77777777" w:rsidR="003D7A74" w:rsidRDefault="00A97A63">
      <w:pPr>
        <w:spacing w:line="360" w:lineRule="auto"/>
        <w:jc w:val="both"/>
      </w:pPr>
      <w:r>
        <w:t>En ese sentido, se considerarán como activos ubicados en el país, aquellos consignados en los estados financieros de un agente económico constituido en Perú32, a excepción de</w:t>
      </w:r>
      <w:r>
        <w:t xml:space="preserve"> aquellos activos que, durante todo el año fiscal anterior a la notificación de la operación, no se hayan ubicado en territorio peruano. </w:t>
      </w:r>
    </w:p>
    <w:p w14:paraId="5CC85A89" w14:textId="77777777" w:rsidR="003D7A74" w:rsidRDefault="00A97A63">
      <w:pPr>
        <w:spacing w:line="360" w:lineRule="auto"/>
        <w:jc w:val="both"/>
      </w:pPr>
      <w:r>
        <w:t>En el caso de agentes económicos que no están constituidos en Perú se contabilizarán33: Un razonamiento similar es apl</w:t>
      </w:r>
      <w:r>
        <w:t xml:space="preserve">icado en jurisdicciones como Canadá y Filipinas. Comprende también el registro de signos distintivos del Indecopi. En coherencia con el tratamiento aplicable al cálculo de ingresos o ventas, se deberán considerar solo aquellos activos que generen ingresos </w:t>
      </w:r>
      <w:r>
        <w:t xml:space="preserve">en Perú. </w:t>
      </w:r>
    </w:p>
    <w:p w14:paraId="0D461D81" w14:textId="77777777" w:rsidR="003D7A74" w:rsidRDefault="00A97A63">
      <w:pPr>
        <w:spacing w:line="360" w:lineRule="auto"/>
        <w:jc w:val="both"/>
      </w:pPr>
      <w:r>
        <w:rPr>
          <w:rFonts w:ascii="Arial" w:eastAsia="Arial" w:hAnsi="Arial" w:cs="Arial"/>
        </w:rPr>
        <w:t>■</w:t>
      </w:r>
      <w:r>
        <w:t xml:space="preserve"> Aquellos activos tangibles ubicados en Per</w:t>
      </w:r>
      <w:r>
        <w:t>ú</w:t>
      </w:r>
      <w:r>
        <w:t xml:space="preserve"> el a</w:t>
      </w:r>
      <w:r>
        <w:t>ñ</w:t>
      </w:r>
      <w:r>
        <w:t>o fiscal anterior a la notificaci</w:t>
      </w:r>
      <w:r>
        <w:t>ó</w:t>
      </w:r>
      <w:r>
        <w:t>n de la operaci</w:t>
      </w:r>
      <w:r>
        <w:t>ó</w:t>
      </w:r>
      <w:r>
        <w:t xml:space="preserve">n. </w:t>
      </w:r>
    </w:p>
    <w:p w14:paraId="55E68846" w14:textId="77777777" w:rsidR="003D7A74" w:rsidRDefault="00A97A63">
      <w:pPr>
        <w:spacing w:line="360" w:lineRule="auto"/>
        <w:jc w:val="both"/>
      </w:pPr>
      <w:r>
        <w:rPr>
          <w:rFonts w:ascii="Arial" w:eastAsia="Arial" w:hAnsi="Arial" w:cs="Arial"/>
        </w:rPr>
        <w:t>■</w:t>
      </w:r>
      <w:r>
        <w:t xml:space="preserve"> Aquellos activos intangibles derivados de contratos suscritos con agentes econ</w:t>
      </w:r>
      <w:r>
        <w:t>ó</w:t>
      </w:r>
      <w:r>
        <w:t>micos constituidos en Per</w:t>
      </w:r>
      <w:r>
        <w:t>ú</w:t>
      </w:r>
      <w:r>
        <w:t xml:space="preserve">. </w:t>
      </w:r>
    </w:p>
    <w:p w14:paraId="0806B7EE" w14:textId="77777777" w:rsidR="003D7A74" w:rsidRDefault="00A97A63">
      <w:pPr>
        <w:spacing w:line="360" w:lineRule="auto"/>
        <w:jc w:val="both"/>
      </w:pPr>
      <w:r>
        <w:rPr>
          <w:rFonts w:ascii="Arial" w:eastAsia="Arial" w:hAnsi="Arial" w:cs="Arial"/>
        </w:rPr>
        <w:t>■</w:t>
      </w:r>
      <w:r>
        <w:t xml:space="preserve"> Aquellos activos intangibles </w:t>
      </w:r>
      <w:r>
        <w:t>inscritos en alg</w:t>
      </w:r>
      <w:r>
        <w:t>ú</w:t>
      </w:r>
      <w:r>
        <w:t>n registro p</w:t>
      </w:r>
      <w:r>
        <w:t>ú</w:t>
      </w:r>
      <w:r>
        <w:t>blico de Per</w:t>
      </w:r>
      <w:r>
        <w:t>ú</w:t>
      </w:r>
      <w:r>
        <w:t>.</w:t>
      </w:r>
    </w:p>
    <w:p w14:paraId="04CAD86B" w14:textId="77777777" w:rsidR="003D7A74" w:rsidRDefault="00A97A63">
      <w:pPr>
        <w:spacing w:line="360" w:lineRule="auto"/>
        <w:jc w:val="both"/>
      </w:pPr>
      <w:r>
        <w:t>Agentes constituidos en el país:</w:t>
      </w:r>
    </w:p>
    <w:p w14:paraId="74DD21C3" w14:textId="77777777" w:rsidR="003D7A74" w:rsidRDefault="00A97A63">
      <w:pPr>
        <w:spacing w:line="360" w:lineRule="auto"/>
        <w:jc w:val="both"/>
      </w:pPr>
      <w:r>
        <w:t>Activos consignados en los estados financieros, salvo aquellos activos tangibles que todo el año anterior no se hayan ubicado en el país.</w:t>
      </w:r>
    </w:p>
    <w:p w14:paraId="62652C13" w14:textId="77777777" w:rsidR="003D7A74" w:rsidRDefault="00A97A63">
      <w:pPr>
        <w:spacing w:line="360" w:lineRule="auto"/>
        <w:jc w:val="both"/>
      </w:pPr>
      <w:r>
        <w:t>Agentes no constituidos en el país:</w:t>
      </w:r>
    </w:p>
    <w:p w14:paraId="5E58C704" w14:textId="77777777" w:rsidR="003D7A74" w:rsidRDefault="00A97A63">
      <w:pPr>
        <w:spacing w:line="360" w:lineRule="auto"/>
        <w:jc w:val="both"/>
      </w:pPr>
      <w:r>
        <w:t>- Ac</w:t>
      </w:r>
      <w:r>
        <w:t>tivos tangibles ubicados en Perú el año anterior a la notificación.</w:t>
      </w:r>
    </w:p>
    <w:p w14:paraId="0ED7D6CC" w14:textId="77777777" w:rsidR="003D7A74" w:rsidRDefault="00A97A63">
      <w:pPr>
        <w:spacing w:line="360" w:lineRule="auto"/>
        <w:jc w:val="both"/>
      </w:pPr>
      <w:r>
        <w:t>- Activos intangibles derivados de contratos con agentes económicos peruanos.</w:t>
      </w:r>
    </w:p>
    <w:p w14:paraId="09580AA2" w14:textId="77777777" w:rsidR="003D7A74" w:rsidRDefault="00A97A63">
      <w:pPr>
        <w:spacing w:line="360" w:lineRule="auto"/>
        <w:jc w:val="both"/>
      </w:pPr>
      <w:r>
        <w:t>-  Activos intangibles inscritos en algún registro público peruano.</w:t>
      </w:r>
    </w:p>
    <w:p w14:paraId="119C9703" w14:textId="77777777" w:rsidR="003D7A74" w:rsidRDefault="00A97A63">
      <w:pPr>
        <w:spacing w:line="360" w:lineRule="auto"/>
        <w:jc w:val="both"/>
      </w:pPr>
      <w:r>
        <w:t>Estas son las reglas generales para determ</w:t>
      </w:r>
      <w:r>
        <w:t>inar la ubicación de los activos para efectos del cálculo de umbrales. Existe una excepción respecto a los activos ubicados en Perú que han obtenido, el ejercicio fiscal anterior a la notificación, más del 50% de sus ingresos a través de ventas al exterior</w:t>
      </w:r>
      <w:r>
        <w:t xml:space="preserve"> del país.35 En este caso, esos activos estarán excluidos del cálculo, independientemente de su naturaleza tangible o intangible, y si corresponden a un agente constituido o no en el país. </w:t>
      </w:r>
    </w:p>
    <w:p w14:paraId="3F59FD5F" w14:textId="77777777" w:rsidR="003D7A74" w:rsidRDefault="00A97A63">
      <w:pPr>
        <w:spacing w:line="360" w:lineRule="auto"/>
        <w:jc w:val="both"/>
      </w:pPr>
      <w:r>
        <w:lastRenderedPageBreak/>
        <w:t>A modo de ejemplo, la excepción aplicaría para un caso como el sig</w:t>
      </w:r>
      <w:r>
        <w:t>uiente:</w:t>
      </w:r>
    </w:p>
    <w:p w14:paraId="7A59F096" w14:textId="77777777" w:rsidR="003D7A74" w:rsidRDefault="00A97A63">
      <w:pPr>
        <w:spacing w:line="360" w:lineRule="auto"/>
        <w:jc w:val="both"/>
      </w:pPr>
      <w:r>
        <w:t>Caso hipotético: La empresa alemana A se dedica a la fabricación y comercialización de calzado y ha decidido fusionarse con la empresa peruana B que se dedica a la misma actividad. La empresa A tiene clientes ubicados en el país y clientes ubicados</w:t>
      </w:r>
      <w:r>
        <w:t xml:space="preserve"> en el extranjero. A consulta si para efectos de cálculo de umbrales debe incluir el valor de una planta suya ubicada en el Callao, cuyas ventas se dirigen tanto para el mercado interno como para la exportación. </w:t>
      </w:r>
    </w:p>
    <w:p w14:paraId="676FAAD8" w14:textId="77777777" w:rsidR="003D7A74" w:rsidRDefault="00A97A63">
      <w:pPr>
        <w:spacing w:line="360" w:lineRule="auto"/>
        <w:jc w:val="both"/>
      </w:pPr>
      <w:r>
        <w:t xml:space="preserve">Respuesta: Para el caso en concreto, la empresa A debe identificar </w:t>
      </w:r>
      <w:proofErr w:type="spellStart"/>
      <w:r>
        <w:t>si</w:t>
      </w:r>
      <w:proofErr w:type="spellEnd"/>
      <w:r>
        <w:t>, el ejercicio anterior a la notificación de la operación, más del 50% de las ventas de los bienes producidos por esa fábrica han sido comercializados a clientes ubicados en el extranjero</w:t>
      </w:r>
      <w:r>
        <w:t>, de ser ese el caso, se aplica la excepción y no se contabilizará dicho activo para el cálculo de umbrales.</w:t>
      </w:r>
    </w:p>
    <w:p w14:paraId="41FA0027" w14:textId="77777777" w:rsidR="003D7A74" w:rsidRDefault="00A97A63">
      <w:pPr>
        <w:spacing w:line="360" w:lineRule="auto"/>
        <w:jc w:val="both"/>
      </w:pPr>
      <w:r>
        <w:t>4. DISPOSICIONES ESPECIALES</w:t>
      </w:r>
    </w:p>
    <w:p w14:paraId="2EE4B049" w14:textId="77777777" w:rsidR="003D7A74" w:rsidRDefault="00A97A63">
      <w:pPr>
        <w:spacing w:line="360" w:lineRule="auto"/>
        <w:jc w:val="both"/>
      </w:pPr>
      <w:r>
        <w:t xml:space="preserve">4.1. Entidades Financieras </w:t>
      </w:r>
    </w:p>
    <w:p w14:paraId="164BAB60" w14:textId="77777777" w:rsidR="003D7A74" w:rsidRDefault="00A97A63">
      <w:pPr>
        <w:spacing w:line="360" w:lineRule="auto"/>
        <w:jc w:val="both"/>
      </w:pPr>
      <w:r>
        <w:t>Para efectos de la norma, se considerará como “entidades financieras” a los agentes económi</w:t>
      </w:r>
      <w:r>
        <w:t>cos comprendidos en el ámbito de regulación y supervisión de la Superintendencia de Banca, Seguros y Administradoras Privadas de Fondos de Pensiones37, a excepción de las compañías de seguros y reaseguros y Administradoras Privadas de Pensiones (en adelant</w:t>
      </w:r>
      <w:r>
        <w:t xml:space="preserve">e, “AFP”) que se abordarán en el siguiente acápite. </w:t>
      </w:r>
    </w:p>
    <w:p w14:paraId="6FFA46F5" w14:textId="77777777" w:rsidR="003D7A74" w:rsidRDefault="00A97A63">
      <w:pPr>
        <w:spacing w:line="360" w:lineRule="auto"/>
        <w:jc w:val="both"/>
      </w:pPr>
      <w:r>
        <w:t xml:space="preserve">De proyectarse una operación de concentración en la que participe una entidad financiera, en lo que respecta a dicho agente, se deberá considerar en el cálculo de las ventas o ingresos, los ingresos por </w:t>
      </w:r>
      <w:r>
        <w:t xml:space="preserve">intereses e ingresos por servicios financieros. </w:t>
      </w:r>
    </w:p>
    <w:p w14:paraId="6F8110F9" w14:textId="77777777" w:rsidR="003D7A74" w:rsidRDefault="00A97A63">
      <w:pPr>
        <w:spacing w:line="360" w:lineRule="auto"/>
        <w:jc w:val="both"/>
      </w:pPr>
      <w:r>
        <w:t>Alternativamente, para el cálculo del valor de los activos de una entidad financiera se aplicarán las reglas establecidas en el capítulo anterior del presente documento.</w:t>
      </w:r>
    </w:p>
    <w:p w14:paraId="457516EB" w14:textId="77777777" w:rsidR="003D7A74" w:rsidRDefault="00A97A63">
      <w:pPr>
        <w:spacing w:line="360" w:lineRule="auto"/>
        <w:jc w:val="both"/>
      </w:pPr>
      <w:r>
        <w:t>4.2. Empresas de Seguros y Reaseguros</w:t>
      </w:r>
      <w:r>
        <w:t xml:space="preserve"> y Administradoras Privadas de Fondo de Pensiones </w:t>
      </w:r>
    </w:p>
    <w:p w14:paraId="37FD15F4" w14:textId="77777777" w:rsidR="003D7A74" w:rsidRDefault="00A97A63">
      <w:pPr>
        <w:spacing w:line="360" w:lineRule="auto"/>
        <w:jc w:val="both"/>
      </w:pPr>
      <w:r>
        <w:t>En cuanto a las compañías que sean consideradas de seguros y reaseguros según las normas de la materia38 para el cálculo de las ventas o ingresos se considerará el valor de las primas netas39 en el año fis</w:t>
      </w:r>
      <w:r>
        <w:t>cal anterior a la notificación, los ingresos por inversiones y otros ingresos financieros.</w:t>
      </w:r>
    </w:p>
    <w:p w14:paraId="034010A7" w14:textId="77777777" w:rsidR="003D7A74" w:rsidRDefault="00A97A63">
      <w:pPr>
        <w:spacing w:line="360" w:lineRule="auto"/>
        <w:jc w:val="both"/>
      </w:pPr>
      <w:r>
        <w:t>Por su parte, en el caso de las AFP, las ventas e ingresos a considerar deben provenir del cobro de las comisiones por los aportes administrados, incluyendo utilidad</w:t>
      </w:r>
      <w:r>
        <w:t xml:space="preserve"> por encaje legal.41 </w:t>
      </w:r>
    </w:p>
    <w:p w14:paraId="4BCB966E" w14:textId="77777777" w:rsidR="003D7A74" w:rsidRDefault="00A97A63">
      <w:pPr>
        <w:spacing w:line="360" w:lineRule="auto"/>
        <w:jc w:val="both"/>
      </w:pPr>
      <w:r>
        <w:t>Finalmente, para el cálculo de los activos de una empresa aseguradora o una AFP se aplicarán las reglas establecidas en el capítulo anterior del presente documento.</w:t>
      </w:r>
    </w:p>
    <w:p w14:paraId="5C56E9E8" w14:textId="77777777" w:rsidR="003D7A74" w:rsidRDefault="00A97A63">
      <w:pPr>
        <w:spacing w:line="360" w:lineRule="auto"/>
        <w:jc w:val="both"/>
      </w:pPr>
      <w:r>
        <w:t xml:space="preserve">4.3. Fondos de Inversión </w:t>
      </w:r>
    </w:p>
    <w:p w14:paraId="0D584200" w14:textId="77777777" w:rsidR="003D7A74" w:rsidRDefault="00A97A63">
      <w:pPr>
        <w:spacing w:line="360" w:lineRule="auto"/>
        <w:jc w:val="both"/>
      </w:pPr>
      <w:r>
        <w:lastRenderedPageBreak/>
        <w:t xml:space="preserve">Acorde con lo desarrollado por la Ley, los </w:t>
      </w:r>
      <w:r>
        <w:t xml:space="preserve">fondos de inversión constituyen agentes económicos que pueden realizar actos de concentración, siendo aplicables, por tanto, las reglas generales establecidas en la citada norma y su Reglamento. </w:t>
      </w:r>
    </w:p>
    <w:p w14:paraId="0DE8AFE0" w14:textId="77777777" w:rsidR="003D7A74" w:rsidRDefault="00A97A63">
      <w:pPr>
        <w:spacing w:line="360" w:lineRule="auto"/>
        <w:jc w:val="both"/>
      </w:pPr>
      <w:r>
        <w:t>Entre las actividades permitidas para los fondos de inversió</w:t>
      </w:r>
      <w:r>
        <w:t>n se contempla la adquisición de acciones, derechos y activos de otras empresas, según lo determine su respectivo Reglamento de Participación. Estas transacciones pueden permitir que un fondo de inversión adquiera el control de más de una empresa que parti</w:t>
      </w:r>
      <w:r>
        <w:t xml:space="preserve">cipa en el mercado peruano. </w:t>
      </w:r>
    </w:p>
    <w:p w14:paraId="32AFEEDB" w14:textId="77777777" w:rsidR="003D7A74" w:rsidRDefault="00A97A63">
      <w:pPr>
        <w:spacing w:line="360" w:lineRule="auto"/>
        <w:jc w:val="both"/>
      </w:pPr>
      <w:r>
        <w:t>Sin embargo, los fondos de inversión requieren normalmente de otro agente económico que realice los actos en nombre y representación del fondo, asumiendo incluso diversas responsabilidades. Bien sea porque el fondo de inversión</w:t>
      </w:r>
      <w:r>
        <w:t xml:space="preserve"> carece de personalidad jurídica (como en el caso de los fondos de inversión nacionales)42 o porque por su propia estructura así lo demanda (como varios fondos de inversión extranjeros).</w:t>
      </w:r>
    </w:p>
    <w:p w14:paraId="226B102B" w14:textId="77777777" w:rsidR="003D7A74" w:rsidRDefault="00A97A63">
      <w:pPr>
        <w:spacing w:line="360" w:lineRule="auto"/>
        <w:jc w:val="both"/>
      </w:pPr>
      <w:r>
        <w:t xml:space="preserve">En el caso de los fondos de inversión nacional, existen dos tipos de </w:t>
      </w:r>
      <w:r>
        <w:t>fondos clasificados según la forma como colocan sus certificados de participación en el mercado: los de oferta pública y los de oferta privada. Los fondos de inversión de oferta pública requieren obligatoriamente que sean administradas por sociedades admin</w:t>
      </w:r>
      <w:r>
        <w:t>istradoras de fondos de inversión o sociedades administradoras de fondos mutuos autorizadas por la Superintendencia del Mercado de Valores (en adelante, “SMV”), con la consiguiente aplicación del Decreto Legislativo N. º 862 y su Reglamento.</w:t>
      </w:r>
    </w:p>
    <w:p w14:paraId="0057F57A" w14:textId="77777777" w:rsidR="003D7A74" w:rsidRDefault="00A97A63">
      <w:pPr>
        <w:spacing w:line="360" w:lineRule="auto"/>
        <w:jc w:val="both"/>
      </w:pPr>
      <w:r>
        <w:t>En cambio, los</w:t>
      </w:r>
      <w:r>
        <w:t xml:space="preserve"> fondos de inversión de oferta privada no requieren que sean administradas por un agente supervisado por la SMV, pudiendo ser gestionado por cualquier agente económico (por ejemplo, una entidad financiera). Lo mismo ocurre con los fondos de inversión extra</w:t>
      </w:r>
      <w:r>
        <w:t xml:space="preserve">njeros43 los cuales suelen ser administrados por un general </w:t>
      </w:r>
      <w:proofErr w:type="spellStart"/>
      <w:r>
        <w:t>partner</w:t>
      </w:r>
      <w:proofErr w:type="spellEnd"/>
      <w:r>
        <w:t xml:space="preserve"> cuyas funciones son similares a la de una sociedad administradora de fondos de inversión.</w:t>
      </w:r>
    </w:p>
    <w:p w14:paraId="4970F11B" w14:textId="77777777" w:rsidR="003D7A74" w:rsidRDefault="00A97A63">
      <w:pPr>
        <w:spacing w:line="360" w:lineRule="auto"/>
        <w:jc w:val="both"/>
      </w:pPr>
      <w:r>
        <w:t>Independientemente del tipo de fondo de inversión, son generalmente estas sociedades administrador</w:t>
      </w:r>
      <w:r>
        <w:t>as quienes cuentan con las facultades necesarias para tomar las decisiones de inversión44 de estos fondos, por cuenta y riesgo de los participantes de este. En dicho contexto, como regla general y orientativa para el cálculo de los umbrales de notificación</w:t>
      </w:r>
      <w:r>
        <w:t xml:space="preserve">, cuando un fondo de inversión realice una operación de concentración se deberá considerar como parte de su estructura organizativa a la entidad administradora del fondo (SAFI, SAF, general </w:t>
      </w:r>
      <w:proofErr w:type="spellStart"/>
      <w:r>
        <w:t>partner</w:t>
      </w:r>
      <w:proofErr w:type="spellEnd"/>
      <w:r>
        <w:t xml:space="preserve"> o el agente económico, según corresponda) al ejercer un ro</w:t>
      </w:r>
      <w:r>
        <w:t xml:space="preserve">l preponderante en las decisiones de inversión del fondo. </w:t>
      </w:r>
    </w:p>
    <w:p w14:paraId="0CDE83F6" w14:textId="77777777" w:rsidR="003D7A74" w:rsidRDefault="00A97A63">
      <w:pPr>
        <w:spacing w:line="360" w:lineRule="auto"/>
        <w:jc w:val="both"/>
      </w:pPr>
      <w:r>
        <w:t>Sin perjuicio de lo expuesto, la Comisión es consciente que, dadas las particularidades de cada fondo de inversión, dependiendo de las condiciones acordadas para su creación y administración, su estructura organizativa puede variar generando diversos escen</w:t>
      </w:r>
      <w:r>
        <w:t xml:space="preserve">arios de control dentro de los referidos fondos45. En ese </w:t>
      </w:r>
      <w:r>
        <w:lastRenderedPageBreak/>
        <w:t>sentido, en una operación de concentración en la que participe un fondo de inversión, se recomienda a los agentes económicos acudir a la Secretaría Técnica a fin de identificar en cada caso particul</w:t>
      </w:r>
      <w:r>
        <w:t>ar las empresas involucradas en la operación de concentración. A modo de ejemplo colocamos un caso hipotético de adquisición de derechos por parte de un fondo de inversión, aplicando las reglas generales citadas para el cálculo de umbrales:</w:t>
      </w:r>
    </w:p>
    <w:p w14:paraId="4F792C7D" w14:textId="77777777" w:rsidR="003D7A74" w:rsidRDefault="00A97A63">
      <w:pPr>
        <w:spacing w:line="360" w:lineRule="auto"/>
        <w:jc w:val="both"/>
      </w:pPr>
      <w:r>
        <w:t>Caso hipotético</w:t>
      </w:r>
      <w:r>
        <w:t xml:space="preserve">: </w:t>
      </w:r>
    </w:p>
    <w:p w14:paraId="76AC931F" w14:textId="77777777" w:rsidR="003D7A74" w:rsidRDefault="00A97A63">
      <w:pPr>
        <w:spacing w:line="360" w:lineRule="auto"/>
        <w:jc w:val="both"/>
      </w:pPr>
      <w:r>
        <w:t>Alpha SAFI es una sociedad administradora de fondos de inversión y tiene bajo su gestión tres fondos de inversión (A, B y C), constituidos con el aporte de diversos inversionistas. Tales fondos a su vez ostentan el control exclusivo de las empresas peru</w:t>
      </w:r>
      <w:r>
        <w:t xml:space="preserve">anas X, Y </w:t>
      </w:r>
      <w:proofErr w:type="spellStart"/>
      <w:r>
        <w:t>y</w:t>
      </w:r>
      <w:proofErr w:type="spellEnd"/>
      <w:r>
        <w:t xml:space="preserve"> Z, respectivamente. Alpha SAFI cuenta con todas las facultades necesarias para decidir sobre la inversión y gestión de cada uno de los fondos que administra. </w:t>
      </w:r>
    </w:p>
    <w:p w14:paraId="5594F2B0" w14:textId="77777777" w:rsidR="003D7A74" w:rsidRDefault="00A97A63">
      <w:pPr>
        <w:spacing w:line="360" w:lineRule="auto"/>
        <w:jc w:val="both"/>
      </w:pPr>
      <w:r>
        <w:t>El fondo de inversión C está interesado en obtener el control de la empresa M, adquir</w:t>
      </w:r>
      <w:r>
        <w:t>iendo el 70% de sus acciones. M participa en la administración de centros de prestación de servicios médicos y de salud (clínicas) en Lima; y, a su vez, controla a la empresa S, dedicada a la administración de centros de prestación de servicios médicos y d</w:t>
      </w:r>
      <w:r>
        <w:t xml:space="preserve">e salud (clínicas) en la Región Puno. </w:t>
      </w:r>
    </w:p>
    <w:p w14:paraId="4E2F2F77" w14:textId="77777777" w:rsidR="003D7A74" w:rsidRDefault="00A97A63">
      <w:pPr>
        <w:spacing w:line="360" w:lineRule="auto"/>
        <w:jc w:val="both"/>
      </w:pPr>
      <w:r>
        <w:t>La operación se graficaría de la siguiente manera:</w:t>
      </w:r>
    </w:p>
    <w:p w14:paraId="033CC6CB" w14:textId="77777777" w:rsidR="003D7A74" w:rsidRDefault="00A97A63">
      <w:pPr>
        <w:spacing w:line="360" w:lineRule="auto"/>
        <w:jc w:val="both"/>
      </w:pPr>
      <w:r>
        <w:t xml:space="preserve">Siguiendo las reglas establecidas por el Reglamento, para el presente caso deberá considerarse las ventas, ingresos, o activos de: </w:t>
      </w:r>
    </w:p>
    <w:p w14:paraId="4DA31610" w14:textId="77777777" w:rsidR="003D7A74" w:rsidRDefault="00A97A63">
      <w:pPr>
        <w:numPr>
          <w:ilvl w:val="0"/>
          <w:numId w:val="1"/>
        </w:numPr>
        <w:pBdr>
          <w:top w:val="nil"/>
          <w:left w:val="nil"/>
          <w:bottom w:val="nil"/>
          <w:right w:val="nil"/>
          <w:between w:val="nil"/>
        </w:pBdr>
        <w:spacing w:after="0" w:line="360" w:lineRule="auto"/>
        <w:jc w:val="both"/>
        <w:rPr>
          <w:color w:val="000000"/>
        </w:rPr>
      </w:pPr>
      <w:r>
        <w:rPr>
          <w:color w:val="000000"/>
        </w:rPr>
        <w:t xml:space="preserve">La sociedad administradora Alpha SAFI y las empresas X, Y, Z (que finalmente son controladas por Alpha SAFI a través de sus diferentes fondos de inversión). </w:t>
      </w:r>
    </w:p>
    <w:p w14:paraId="04924620" w14:textId="77777777" w:rsidR="003D7A74" w:rsidRDefault="00A97A63">
      <w:pPr>
        <w:numPr>
          <w:ilvl w:val="0"/>
          <w:numId w:val="1"/>
        </w:numPr>
        <w:pBdr>
          <w:top w:val="nil"/>
          <w:left w:val="nil"/>
          <w:bottom w:val="nil"/>
          <w:right w:val="nil"/>
          <w:between w:val="nil"/>
        </w:pBdr>
        <w:spacing w:line="360" w:lineRule="auto"/>
        <w:jc w:val="both"/>
        <w:rPr>
          <w:color w:val="000000"/>
        </w:rPr>
      </w:pPr>
      <w:r>
        <w:rPr>
          <w:color w:val="000000"/>
        </w:rPr>
        <w:t>La empresa M (adquirida) y la empresa S (controlada por la adquirida).</w:t>
      </w:r>
    </w:p>
    <w:p w14:paraId="7A98E9BA" w14:textId="77777777" w:rsidR="003D7A74" w:rsidRDefault="00A97A63">
      <w:pPr>
        <w:spacing w:line="360" w:lineRule="auto"/>
        <w:jc w:val="both"/>
      </w:pPr>
      <w:r>
        <w:t xml:space="preserve">4.4. Empresas del Estado </w:t>
      </w:r>
    </w:p>
    <w:p w14:paraId="574B75F0" w14:textId="77777777" w:rsidR="003D7A74" w:rsidRDefault="00A97A63">
      <w:pPr>
        <w:spacing w:line="360" w:lineRule="auto"/>
        <w:jc w:val="both"/>
      </w:pPr>
      <w:r>
        <w:t>E</w:t>
      </w:r>
      <w:r>
        <w:t>n el caso de operaciones de concentración que involucren a empresas con participación estatal, también se requiere de ciertas precisiones. Para calcular las ventas, ingresos o valor de los activos de empresas de propiedad estatal involucradas en una operac</w:t>
      </w:r>
      <w:r>
        <w:t>ión de concentración será necesario considerar a todas aquellas empresas que pertenezcan a la misma unidad de decisión. Asimismo, en lo que corresponda, se deben aplicar las reglas de cálculo desarrolladas en el presente documento.</w:t>
      </w:r>
    </w:p>
    <w:p w14:paraId="04F84B49" w14:textId="77777777" w:rsidR="003D7A74" w:rsidRDefault="00A97A63">
      <w:pPr>
        <w:spacing w:line="360" w:lineRule="auto"/>
        <w:jc w:val="both"/>
      </w:pPr>
      <w:r>
        <w:t>En el Perú, las empresas</w:t>
      </w:r>
      <w:r>
        <w:t xml:space="preserve"> públicas se encuentran controladas por el Fondo Nacional de Financiamiento de la Actividad Empresarial del Estado (en adelante, “FONAFE”), empresa de derecho público que se encarga de normar y dirigir la actividad empresarial del Estado, aprobar el presup</w:t>
      </w:r>
      <w:r>
        <w:t>uesto de las empresas públicas y administrar la renta producida por las mismas46. En esa línea, todas las empresas del Estado Peruano, controladas por FONAFE, se encuentran bajo una misma unidad de decisión.</w:t>
      </w:r>
    </w:p>
    <w:p w14:paraId="446CF3DB" w14:textId="77777777" w:rsidR="003D7A74" w:rsidRDefault="00A97A63">
      <w:pPr>
        <w:spacing w:line="360" w:lineRule="auto"/>
        <w:jc w:val="both"/>
      </w:pPr>
      <w:r>
        <w:lastRenderedPageBreak/>
        <w:t xml:space="preserve">5. PROCEDENCIA DE LOS DATOS </w:t>
      </w:r>
    </w:p>
    <w:p w14:paraId="22D3E536" w14:textId="77777777" w:rsidR="003D7A74" w:rsidRDefault="00A97A63">
      <w:pPr>
        <w:spacing w:line="360" w:lineRule="auto"/>
        <w:jc w:val="both"/>
      </w:pPr>
      <w:r>
        <w:t xml:space="preserve">El numeral 6.1 del </w:t>
      </w:r>
      <w:r>
        <w:t>artículo 6 de la Ley contempla que las ventas, ingresos o valor de activos a incluir en el cálculo deben ser los obtenidos del ejercicio fiscal inmediatamente anterior a la notificación de la operación. Estos montos deberán ser extraídos de los estados fin</w:t>
      </w:r>
      <w:r>
        <w:t xml:space="preserve">ancieros que correspondan a ese periodo, los cuales deberán ser presentados por los agentes económicos al notificar la operación. </w:t>
      </w:r>
    </w:p>
    <w:p w14:paraId="360D1B7D" w14:textId="77777777" w:rsidR="003D7A74" w:rsidRDefault="00A97A63">
      <w:pPr>
        <w:spacing w:line="360" w:lineRule="auto"/>
        <w:jc w:val="both"/>
      </w:pPr>
      <w:r>
        <w:t>Los estados financieros presentados por los agentes económicos deberán cumplir con las reglas contables aprobadas en Perú. En</w:t>
      </w:r>
      <w:r>
        <w:t xml:space="preserve"> el caso de empresas no constituidas en el país, los estados financieros deberán cumplir con los estándares y reglas establecidas en las Normas Internacionales de Contabilidad. </w:t>
      </w:r>
    </w:p>
    <w:p w14:paraId="2FE46034" w14:textId="77777777" w:rsidR="003D7A74" w:rsidRDefault="00A97A63">
      <w:pPr>
        <w:spacing w:line="360" w:lineRule="auto"/>
        <w:jc w:val="both"/>
      </w:pPr>
      <w:r>
        <w:t>Asimismo, en el caso de empresas que se encuentran obligadas a mantener estado</w:t>
      </w:r>
      <w:r>
        <w:t>s financieros auditados, conforme a la legislación en el Perú o en sus países de origen, deberán presentar tales documentos. Esto, con excepción de aquellos casos en los cuales la notificación se realice cuando aún no se disponga de estados financieros aud</w:t>
      </w:r>
      <w:r>
        <w:t xml:space="preserve">itados (por ejemplo, dentro del primer o segundo mes del año). </w:t>
      </w:r>
    </w:p>
    <w:p w14:paraId="674B83E7" w14:textId="77777777" w:rsidR="003D7A74" w:rsidRDefault="00A97A63">
      <w:pPr>
        <w:spacing w:line="360" w:lineRule="auto"/>
        <w:jc w:val="both"/>
      </w:pPr>
      <w:r>
        <w:t>Por otro lado, cuando la operación de concentración implique el cálculo de umbrales de varios agentes de un mismo grupo económico, las empresas podrán presentar estados financieros consolidado</w:t>
      </w:r>
      <w:r>
        <w:t>s.</w:t>
      </w:r>
    </w:p>
    <w:p w14:paraId="57102D07" w14:textId="77777777" w:rsidR="003D7A74" w:rsidRDefault="00A97A63">
      <w:pPr>
        <w:spacing w:line="360" w:lineRule="auto"/>
        <w:jc w:val="both"/>
      </w:pPr>
      <w:r>
        <w:t>Finalmente, si determinados ingresos o activos no se encuentran individualizados en los estados financieros, los agentes económicos podrán presentar otros documentos contables/financieros que reflejen su valorización. La veracidad de dichos documentos s</w:t>
      </w:r>
      <w:r>
        <w:t>erá asumida en base a la Declaración Jurada que los agentes económicos deberán de presentar según lo establecido en los Formularios de Notificación.</w:t>
      </w:r>
    </w:p>
    <w:p w14:paraId="229C45E7" w14:textId="77777777" w:rsidR="003D7A74" w:rsidRDefault="00A97A63">
      <w:pPr>
        <w:spacing w:line="360" w:lineRule="auto"/>
        <w:jc w:val="both"/>
      </w:pPr>
      <w:r>
        <w:t xml:space="preserve">6. UIT </w:t>
      </w:r>
    </w:p>
    <w:p w14:paraId="60327905" w14:textId="77777777" w:rsidR="003D7A74" w:rsidRDefault="00A97A63">
      <w:pPr>
        <w:spacing w:line="360" w:lineRule="auto"/>
        <w:jc w:val="both"/>
      </w:pPr>
      <w:r>
        <w:t>La Ley establece que los umbrales de notificación están determinados en función a Unidades Impositi</w:t>
      </w:r>
      <w:r>
        <w:t>vas Tributarias (en adelante, “UIT”). Se entiende que se refieren a las UIT vigentes al último día del ejercicio fiscal anterior al de la notificación de la operación, esto es, al 31 de diciembre del año anterior.</w:t>
      </w:r>
    </w:p>
    <w:p w14:paraId="0B59A74F" w14:textId="77777777" w:rsidR="003D7A74" w:rsidRDefault="00A97A63">
      <w:pPr>
        <w:spacing w:line="360" w:lineRule="auto"/>
        <w:jc w:val="both"/>
      </w:pPr>
      <w:r>
        <w:t xml:space="preserve">7. TIPO DE CAMBIO </w:t>
      </w:r>
    </w:p>
    <w:p w14:paraId="09744A29" w14:textId="77777777" w:rsidR="003D7A74" w:rsidRDefault="00A97A63">
      <w:pPr>
        <w:spacing w:line="360" w:lineRule="auto"/>
        <w:jc w:val="both"/>
      </w:pPr>
      <w:r>
        <w:t xml:space="preserve">Como regla general, se </w:t>
      </w:r>
      <w:r>
        <w:t>utilizarán los montos en moneda nacional (S/) consignados en los estados financieros de las empresas intervinientes en la operación de concentración empresarial. En caso existan montos consignados en una moneda distinta al sol peruano, el tipo de cambio ap</w:t>
      </w:r>
      <w:r>
        <w:t>licable debe ser el tipo de cambio de venta promedio de los últimos doce (12) meses previos a la notificación, según publicación del Banco Central de Reserva.</w:t>
      </w:r>
    </w:p>
    <w:p w14:paraId="4D4DACCF" w14:textId="77777777" w:rsidR="003D7A74" w:rsidRDefault="003D7A74">
      <w:pPr>
        <w:spacing w:line="360" w:lineRule="auto"/>
        <w:jc w:val="both"/>
      </w:pPr>
    </w:p>
    <w:p w14:paraId="37EB5798" w14:textId="77777777" w:rsidR="003D7A74" w:rsidRDefault="003D7A74">
      <w:pPr>
        <w:spacing w:line="360" w:lineRule="auto"/>
        <w:jc w:val="both"/>
      </w:pPr>
    </w:p>
    <w:sectPr w:rsidR="003D7A74">
      <w:pgSz w:w="11906" w:h="16838"/>
      <w:pgMar w:top="1440" w:right="1080" w:bottom="1440" w:left="108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B784DF4"/>
    <w:multiLevelType w:val="multilevel"/>
    <w:tmpl w:val="9944706C"/>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7A74"/>
    <w:rsid w:val="003D7A74"/>
    <w:rsid w:val="00A97A63"/>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3F4E4"/>
  <w15:docId w15:val="{AC62FCA4-EEA1-4E02-A8F5-04AFBAAB0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PE" w:eastAsia="es-P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284921"/>
    <w:pPr>
      <w:ind w:left="720"/>
      <w:contextualSpacing/>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b.pe/institucion/indecopi/informes-publicaciones/1945863-lineamientos-para-el-calculo-de-los-umbrales-de-notificacion"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sq4oK3bmvuASsidfVMt3jXQQiZg==">CgMxLjAyCGguZ2pkZ3hzOAByITF4d3paaG80ZmVrV1V5Zld2MlVtV0xtMHRPbWs4cUNEdw==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6852</Words>
  <Characters>37687</Characters>
  <Application>Microsoft Office Word</Application>
  <DocSecurity>0</DocSecurity>
  <Lines>314</Lines>
  <Paragraphs>88</Paragraphs>
  <ScaleCrop>false</ScaleCrop>
  <Company/>
  <LinksUpToDate>false</LinksUpToDate>
  <CharactersWithSpaces>44451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Elvis Montero Pedroso</dc:creator>
  <cp:lastModifiedBy>JOSE MANUEL AVALOS GUTIERREZ</cp:lastModifiedBy>
  <cp:revision>2</cp:revision>
  <dcterms:created xsi:type="dcterms:W3CDTF">2025-10-15T20:40:00Z</dcterms:created>
  <dcterms:modified xsi:type="dcterms:W3CDTF">2025-10-15T20:40:00Z</dcterms:modified>
</cp:coreProperties>
</file>