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(2005). Resolución N°030-2005/CCD-INDECOPI, Expediente N° 104-2004/CCD.</w:t>
      </w:r>
      <w:r w:rsidDel="00000000" w:rsidR="00000000" w:rsidRPr="00000000">
        <w:rPr>
          <w:rtl w:val="0"/>
        </w:rPr>
      </w:r>
    </w:p>
    <w:p w:rsidR="00000000" w:rsidDel="00000000" w:rsidP="00000000" w:rsidRDefault="00000000" w:rsidRPr="00000000" w14:paraId="00000002">
      <w:pPr>
        <w:spacing w:line="360" w:lineRule="auto"/>
        <w:jc w:val="center"/>
        <w:rPr>
          <w:sz w:val="28"/>
          <w:szCs w:val="28"/>
        </w:rPr>
      </w:pPr>
      <w:r w:rsidDel="00000000" w:rsidR="00000000" w:rsidRPr="00000000">
        <w:rPr>
          <w:rtl w:val="0"/>
        </w:rPr>
      </w:r>
    </w:p>
    <w:p w:rsidR="00000000" w:rsidDel="00000000" w:rsidP="00000000" w:rsidRDefault="00000000" w:rsidRPr="00000000" w14:paraId="00000003">
      <w:pPr>
        <w:spacing w:line="360" w:lineRule="auto"/>
        <w:jc w:val="center"/>
        <w:rPr>
          <w:sz w:val="28"/>
          <w:szCs w:val="28"/>
        </w:rPr>
      </w:pPr>
      <w:r w:rsidDel="00000000" w:rsidR="00000000" w:rsidRPr="00000000">
        <w:rPr>
          <w:sz w:val="28"/>
          <w:szCs w:val="28"/>
          <w:rtl w:val="0"/>
        </w:rPr>
        <w:t xml:space="preserve">Resolución</w:t>
      </w:r>
    </w:p>
    <w:p w:rsidR="00000000" w:rsidDel="00000000" w:rsidP="00000000" w:rsidRDefault="00000000" w:rsidRPr="00000000" w14:paraId="00000004">
      <w:pPr>
        <w:spacing w:line="360" w:lineRule="auto"/>
        <w:jc w:val="right"/>
        <w:rPr/>
      </w:pPr>
      <w:r w:rsidDel="00000000" w:rsidR="00000000" w:rsidRPr="00000000">
        <w:rPr>
          <w:rtl w:val="0"/>
        </w:rPr>
        <w:t xml:space="preserve">N° 030-2005/CCD-INDECOPI </w:t>
      </w:r>
    </w:p>
    <w:p w:rsidR="00000000" w:rsidDel="00000000" w:rsidP="00000000" w:rsidRDefault="00000000" w:rsidRPr="00000000" w14:paraId="00000005">
      <w:pPr>
        <w:spacing w:line="360" w:lineRule="auto"/>
        <w:jc w:val="right"/>
        <w:rPr/>
      </w:pPr>
      <w:r w:rsidDel="00000000" w:rsidR="00000000" w:rsidRPr="00000000">
        <w:rPr>
          <w:rtl w:val="0"/>
        </w:rPr>
        <w:t xml:space="preserve">Lima, 7 de marzo de 2005</w:t>
      </w:r>
    </w:p>
    <w:p w:rsidR="00000000" w:rsidDel="00000000" w:rsidP="00000000" w:rsidRDefault="00000000" w:rsidRPr="00000000" w14:paraId="00000006">
      <w:pPr>
        <w:spacing w:line="360" w:lineRule="auto"/>
        <w:jc w:val="both"/>
        <w:rPr/>
      </w:pPr>
      <w:r w:rsidDel="00000000" w:rsidR="00000000" w:rsidRPr="00000000">
        <w:rPr>
          <w:rtl w:val="0"/>
        </w:rPr>
        <w:t xml:space="preserve">EXPEDIENTE N° 104-2004/CCD</w:t>
      </w:r>
    </w:p>
    <w:p w:rsidR="00000000" w:rsidDel="00000000" w:rsidP="00000000" w:rsidRDefault="00000000" w:rsidRPr="00000000" w14:paraId="00000007">
      <w:pPr>
        <w:spacing w:line="360" w:lineRule="auto"/>
        <w:jc w:val="both"/>
        <w:rPr/>
      </w:pPr>
      <w:r w:rsidDel="00000000" w:rsidR="00000000" w:rsidRPr="00000000">
        <w:rPr>
          <w:rtl w:val="0"/>
        </w:rPr>
        <w:t xml:space="preserve">DENUNCIANTE: BEMBOS S.A.C. (BEMBOS)</w:t>
      </w:r>
    </w:p>
    <w:p w:rsidR="00000000" w:rsidDel="00000000" w:rsidP="00000000" w:rsidRDefault="00000000" w:rsidRPr="00000000" w14:paraId="00000008">
      <w:pPr>
        <w:spacing w:line="360" w:lineRule="auto"/>
        <w:jc w:val="both"/>
        <w:rPr/>
      </w:pPr>
      <w:r w:rsidDel="00000000" w:rsidR="00000000" w:rsidRPr="00000000">
        <w:rPr>
          <w:rtl w:val="0"/>
        </w:rPr>
        <w:t xml:space="preserve">DENUNCIADA: RENZO’S POLLERÍA RESTAURANT SNACK S.R.L. (RENZOS)</w:t>
      </w:r>
    </w:p>
    <w:p w:rsidR="00000000" w:rsidDel="00000000" w:rsidP="00000000" w:rsidRDefault="00000000" w:rsidRPr="00000000" w14:paraId="00000009">
      <w:pPr>
        <w:spacing w:line="360" w:lineRule="auto"/>
        <w:jc w:val="both"/>
        <w:rPr/>
      </w:pPr>
      <w:r w:rsidDel="00000000" w:rsidR="00000000" w:rsidRPr="00000000">
        <w:rPr>
          <w:rtl w:val="0"/>
        </w:rPr>
        <w:t xml:space="preserve">MATERIA:</w:t>
      </w:r>
    </w:p>
    <w:p w:rsidR="00000000" w:rsidDel="00000000" w:rsidP="00000000" w:rsidRDefault="00000000" w:rsidRPr="00000000" w14:paraId="0000000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TACHA</w:t>
      </w:r>
    </w:p>
    <w:p w:rsidR="00000000" w:rsidDel="00000000" w:rsidP="00000000" w:rsidRDefault="00000000" w:rsidRPr="00000000" w14:paraId="0000000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COMPETENCIA DESLEAL CONFUSIÓN</w:t>
      </w:r>
    </w:p>
    <w:p w:rsidR="00000000" w:rsidDel="00000000" w:rsidP="00000000" w:rsidRDefault="00000000" w:rsidRPr="00000000" w14:paraId="0000000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EXPLOTACIÓN DE LA REPUTACIÓN AJENA MEDIDA COMPLEMENTARIA GRADUACIÓN DE LA SANCIÓN</w:t>
      </w:r>
    </w:p>
    <w:p w:rsidR="00000000" w:rsidDel="00000000" w:rsidP="00000000" w:rsidRDefault="00000000" w:rsidRPr="00000000" w14:paraId="0000000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DENEGATORIA DE SANCIÓN POR INCUMPLIMIENTO DE MEDIDA CAUTELAR</w:t>
      </w:r>
    </w:p>
    <w:p w:rsidR="00000000" w:rsidDel="00000000" w:rsidP="00000000" w:rsidRDefault="00000000" w:rsidRPr="00000000" w14:paraId="0000000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PRECEDENTE DE OBSERVANCIA OBLIGATORIA </w:t>
      </w:r>
    </w:p>
    <w:p w:rsidR="00000000" w:rsidDel="00000000" w:rsidP="00000000" w:rsidRDefault="00000000" w:rsidRPr="00000000" w14:paraId="0000000F">
      <w:pPr>
        <w:spacing w:line="360" w:lineRule="auto"/>
        <w:jc w:val="both"/>
        <w:rPr/>
      </w:pPr>
      <w:r w:rsidDel="00000000" w:rsidR="00000000" w:rsidRPr="00000000">
        <w:rPr>
          <w:rtl w:val="0"/>
        </w:rPr>
        <w:t xml:space="preserve">ACTIVIDAD: SERVICIOS DE RESTAURANTE</w:t>
      </w:r>
    </w:p>
    <w:p w:rsidR="00000000" w:rsidDel="00000000" w:rsidP="00000000" w:rsidRDefault="00000000" w:rsidRPr="00000000" w14:paraId="00000010">
      <w:pPr>
        <w:spacing w:line="360" w:lineRule="auto"/>
        <w:jc w:val="both"/>
        <w:rPr/>
      </w:pPr>
      <w:r w:rsidDel="00000000" w:rsidR="00000000" w:rsidRPr="00000000">
        <w:rPr>
          <w:rtl w:val="0"/>
        </w:rPr>
        <w:t xml:space="preserve">SUMILLA: Se declaran INADMISIBLES la tacha y la oposición formuladas por Renzos contra el Informe N° 124-2004-FYE/AFI.</w:t>
      </w:r>
    </w:p>
    <w:p w:rsidR="00000000" w:rsidDel="00000000" w:rsidP="00000000" w:rsidRDefault="00000000" w:rsidRPr="00000000" w14:paraId="00000011">
      <w:pPr>
        <w:spacing w:line="360" w:lineRule="auto"/>
        <w:jc w:val="both"/>
        <w:rPr/>
      </w:pPr>
      <w:r w:rsidDel="00000000" w:rsidR="00000000" w:rsidRPr="00000000">
        <w:rPr>
          <w:rtl w:val="0"/>
        </w:rPr>
        <w:t xml:space="preserve">Se declara FUNDADA la denuncia de fecha 19 de agosto de 2004 presentada por Bembos en contra de Renzos por la comisión de actos de competencia desleal en las modalidades de confusión y explotación de la reputación ajena, supuestos ejemplificados en los artículos 8 y 14, respectivamente, del Decreto Ley N° 26122 - Ley sobre Represión de la Competencia Desleal. En consecuencia, se sanciona a la denunciada con una multa de cinco (5) Unidades Impositivas Tributarias y se ordena su inscripción en el registro de infractores.</w:t>
      </w:r>
    </w:p>
    <w:p w:rsidR="00000000" w:rsidDel="00000000" w:rsidP="00000000" w:rsidRDefault="00000000" w:rsidRPr="00000000" w14:paraId="00000012">
      <w:pPr>
        <w:spacing w:line="360" w:lineRule="auto"/>
        <w:jc w:val="both"/>
        <w:rPr/>
      </w:pPr>
      <w:r w:rsidDel="00000000" w:rsidR="00000000" w:rsidRPr="00000000">
        <w:rPr>
          <w:rtl w:val="0"/>
        </w:rPr>
        <w:t xml:space="preserve">Asimismo, en calidad de medida complementaria, se PROHIBE a Renzos que presente tanto en el aspecto interno como externo del establecimiento denunciado o de cualquier otro bajo su conducción, elementos que puedan generar confusión en los consumidores sobre su origen empresarial y que puedan generar un riesgo de asociación respecto de los establecimientos de Bembos o una explotación indebida de la reputación que corresponde a esta empresa en el mercado.</w:t>
      </w:r>
    </w:p>
    <w:p w:rsidR="00000000" w:rsidDel="00000000" w:rsidP="00000000" w:rsidRDefault="00000000" w:rsidRPr="00000000" w14:paraId="00000013">
      <w:pPr>
        <w:spacing w:line="360" w:lineRule="auto"/>
        <w:jc w:val="both"/>
        <w:rPr/>
      </w:pPr>
      <w:r w:rsidDel="00000000" w:rsidR="00000000" w:rsidRPr="00000000">
        <w:rPr>
          <w:rtl w:val="0"/>
        </w:rPr>
        <w:t xml:space="preserve">De otro lado, se deniega la solicitud de Bembos para que se sancione a Renzos por el incumplimiento de la medida cautelar ordenada en la Resolución N° 3.</w:t>
      </w:r>
    </w:p>
    <w:p w:rsidR="00000000" w:rsidDel="00000000" w:rsidP="00000000" w:rsidRDefault="00000000" w:rsidRPr="00000000" w14:paraId="00000014">
      <w:pPr>
        <w:spacing w:line="360" w:lineRule="auto"/>
        <w:jc w:val="both"/>
        <w:rPr/>
      </w:pPr>
      <w:r w:rsidDel="00000000" w:rsidR="00000000" w:rsidRPr="00000000">
        <w:rPr>
          <w:rtl w:val="0"/>
        </w:rPr>
        <w:t xml:space="preserve">Finalmente, la Comisión establece el siguiente precedente de observancia obligatoria:</w:t>
      </w:r>
    </w:p>
    <w:p w:rsidR="00000000" w:rsidDel="00000000" w:rsidP="00000000" w:rsidRDefault="00000000" w:rsidRPr="00000000" w14:paraId="00000015">
      <w:pPr>
        <w:spacing w:line="360" w:lineRule="auto"/>
        <w:jc w:val="both"/>
        <w:rPr/>
      </w:pPr>
      <w:r w:rsidDel="00000000" w:rsidR="00000000" w:rsidRPr="00000000">
        <w:rPr>
          <w:rtl w:val="0"/>
        </w:rPr>
        <w:t xml:space="preserve">1. - El denominado “derecho a imitar”, que consiste en que un concurrente en el mercado puede lícitamente imitar las iniciativas empresariales de otro concurrente, constituye una de las manifestaciones de la libertad de iniciativa privada en materia económica, consagrada y protegida por artículo 58 de la Constitución Política del Perú. Sin embargo, el denominado “derecho a imitar” no puede ser ejercido por las empresas de modo irrestricto, debe ser ejercido respetando los límites que el ordenamiento jurídico establece.</w:t>
      </w:r>
    </w:p>
    <w:p w:rsidR="00000000" w:rsidDel="00000000" w:rsidP="00000000" w:rsidRDefault="00000000" w:rsidRPr="00000000" w14:paraId="00000016">
      <w:pPr>
        <w:spacing w:line="360" w:lineRule="auto"/>
        <w:jc w:val="both"/>
        <w:rPr/>
      </w:pPr>
      <w:r w:rsidDel="00000000" w:rsidR="00000000" w:rsidRPr="00000000">
        <w:rPr>
          <w:rtl w:val="0"/>
        </w:rPr>
        <w:t xml:space="preserve">2. - Un primer límite a la imitación consiste en el respeto que los concurrentes en el mercado deben tener por los derechos de propiedad intelectual de terceros, como es el caso de las marcas que otorgan protección sobre determinados signos, de patentes que otorgan protección sobre determinadas invenciones y de titularidades de derechos de autor que otorgan protección sobre determinadas obras, entre otros. Mediante los derechos de propiedad intelectual, el titular de un signo, invención u obra goza de una protección tal que la imitación de otro concurrente respecto de estos elementos es ilícita, según lo precisado por las normas en la materia.</w:t>
      </w:r>
    </w:p>
    <w:p w:rsidR="00000000" w:rsidDel="00000000" w:rsidP="00000000" w:rsidRDefault="00000000" w:rsidRPr="00000000" w14:paraId="00000017">
      <w:pPr>
        <w:spacing w:line="360" w:lineRule="auto"/>
        <w:jc w:val="both"/>
        <w:rPr/>
      </w:pPr>
      <w:r w:rsidDel="00000000" w:rsidR="00000000" w:rsidRPr="00000000">
        <w:rPr>
          <w:rtl w:val="0"/>
        </w:rPr>
        <w:t xml:space="preserve">3. - Un segundo límite a la imitación consiste en el “deber de diferenciación” que corresponde a los concurrentes en el mercado. Este deber es exigido por las normas que reprimen la competencia desleal y significa que, si bien los concurrentes tienen “derecho a imitar”, tienen como contraparte la obligación de evitar, en observancia de la buena fe comercial, que alguna imitación sea capaz de: i) generar confusión respecto del origen empresarial de los bienes o servicios que colocan en el mercado, así como sobre los establecimientos utilizados para tal fin; ii) conllevar que el concurrente imitado no pueda diferenciarse o afirmarse en el mercado por causa de una imitación sistemática; o, iii) significar una explotación indebida de la reputación que corresponde a otro concurrente en el mercado. Estas tres conductas son consideradas contrarias a la buena fe comercial que rige las actividades comerciales y son ejemplificadas como actos de competencia desleal, respectivamente, en los artículos 8, 13 y 14 de la Ley sobre Represión de la Competencia Desleal, siendo prohibidas por el artículo 6 de la misma ley, que constituye la tipificación expresa exigida por el artículo 230.4 de la Ley del Procedimiento Administrativo General para aplicarlas sanciones correspondientes.</w:t>
      </w:r>
    </w:p>
    <w:p w:rsidR="00000000" w:rsidDel="00000000" w:rsidP="00000000" w:rsidRDefault="00000000" w:rsidRPr="00000000" w14:paraId="00000018">
      <w:pPr>
        <w:spacing w:line="360" w:lineRule="auto"/>
        <w:jc w:val="both"/>
        <w:rPr/>
      </w:pPr>
      <w:r w:rsidDel="00000000" w:rsidR="00000000" w:rsidRPr="00000000">
        <w:rPr>
          <w:rtl w:val="0"/>
        </w:rPr>
        <w:t xml:space="preserve">4. - En particular, sobre los actos de confusión respecto del origen empresarial, cabe precisar que la confusión puede ser de tres tipos: a) directa, b) indirecta y c) de riesgo asociativo. En los tres casos bastará que exista un riesgo de confusión para considerar la conducta como un acto de competencia desleal.</w:t>
      </w:r>
    </w:p>
    <w:p w:rsidR="00000000" w:rsidDel="00000000" w:rsidP="00000000" w:rsidRDefault="00000000" w:rsidRPr="00000000" w14:paraId="00000019">
      <w:pPr>
        <w:spacing w:line="360" w:lineRule="auto"/>
        <w:jc w:val="both"/>
        <w:rPr/>
      </w:pPr>
      <w:r w:rsidDel="00000000" w:rsidR="00000000" w:rsidRPr="00000000">
        <w:rPr>
          <w:rtl w:val="0"/>
        </w:rPr>
        <w:t xml:space="preserve">La confusión directa ocurre cuando los consumidores pueden asumir que los bienes, servicios o establecimientos de un concurrente en el mercado guardan identidad con los que corresponden a otro concurrente, viéndose inducidos a error por no ser ello cierto. Esta confusión podría ocurrir a causa de una extrema similitud en signos, presentación o apariencia general de los bienes, los servicios o los establecimientos en cuestión.</w:t>
      </w:r>
    </w:p>
    <w:p w:rsidR="00000000" w:rsidDel="00000000" w:rsidP="00000000" w:rsidRDefault="00000000" w:rsidRPr="00000000" w14:paraId="0000001A">
      <w:pPr>
        <w:spacing w:line="360" w:lineRule="auto"/>
        <w:jc w:val="both"/>
        <w:rPr/>
      </w:pPr>
      <w:r w:rsidDel="00000000" w:rsidR="00000000" w:rsidRPr="00000000">
        <w:rPr>
          <w:rtl w:val="0"/>
        </w:rPr>
        <w:t xml:space="preserve">La confusión indirecta ocurre cuando los consumidores pueden diferenciar claramente bienes, servicios o establecimientos distintos, pero pueden pensar, equivocadamente, que pertenecen al mismo concurrente en el mercado, cuando en realidad pertenecen a dos concurrentes distintos. Esta confusión podría ocurrir a causa de algunas similitudes en signos, presentación o apariencia general de los bienes, servicios o establecimientos en cuestión.</w:t>
      </w:r>
    </w:p>
    <w:p w:rsidR="00000000" w:rsidDel="00000000" w:rsidP="00000000" w:rsidRDefault="00000000" w:rsidRPr="00000000" w14:paraId="0000001B">
      <w:pPr>
        <w:spacing w:line="360" w:lineRule="auto"/>
        <w:jc w:val="both"/>
        <w:rPr/>
      </w:pPr>
      <w:r w:rsidDel="00000000" w:rsidR="00000000" w:rsidRPr="00000000">
        <w:rPr>
          <w:rtl w:val="0"/>
        </w:rPr>
        <w:t xml:space="preserve">La confusión en la modalidad de riesgo de asociación ocurre cuando los consumidores pueden diferenciar los bienes, servicios o establecimientos de un concurrente en el mercado frente a los de otro concurrente, pero pueden, como consecuencia de la similitud existente entre algunos elementos que caracterizan las ofertas de ambos, considerar que entre estos existe vinculación económica u organizativa, cuando en realidad dicha vinculación no existe. Esta confusión podría ocurrir a causa de una mínima similitud en signos, presentación o apariencia general de los bienes, servicios o establecimientos en cuestión.</w:t>
      </w:r>
    </w:p>
    <w:p w:rsidR="00000000" w:rsidDel="00000000" w:rsidP="00000000" w:rsidRDefault="00000000" w:rsidRPr="00000000" w14:paraId="0000001C">
      <w:pPr>
        <w:spacing w:line="360" w:lineRule="auto"/>
        <w:jc w:val="both"/>
        <w:rPr/>
      </w:pPr>
      <w:r w:rsidDel="00000000" w:rsidR="00000000" w:rsidRPr="00000000">
        <w:rPr>
          <w:rtl w:val="0"/>
        </w:rPr>
        <w:t xml:space="preserve">5. - Finalmente, a efectos de evaluar si se produce un acto de confusión respecto de elementos sobre los que no recae derecho de propiedad intelectual alguno, la autoridad administrativa, para determinar si un concurrente ha infringido el “deber de diferenciación” que le es exigible, debe evaluar fundamentalmente que los signos, presentación y/o apariencia general de los bienes, servicios o establecimientos que corresponden al concurrente presuntamente afectado por la imitación, cuando menos: i) sean capaces individualmente o en conjunto de generar un efecto identificador del origen empresarial y diferenciador de la oferta de este concurrente frente a los demás concurrentes en el mercado; ii) no sean una respuesta a necesidades propias de la actividad económica que este concurrente realiza; iii) no sean un estándar en el mercado; y, iv) conformen una apariencia que pueda ser evitada por los demás concurrentes sin incurrir en elevados costos de diferenciación.</w:t>
      </w:r>
    </w:p>
    <w:p w:rsidR="00000000" w:rsidDel="00000000" w:rsidP="00000000" w:rsidRDefault="00000000" w:rsidRPr="00000000" w14:paraId="0000001D">
      <w:pPr>
        <w:spacing w:line="360" w:lineRule="auto"/>
        <w:jc w:val="both"/>
        <w:rPr/>
      </w:pPr>
      <w:r w:rsidDel="00000000" w:rsidR="00000000" w:rsidRPr="00000000">
        <w:rPr>
          <w:rtl w:val="0"/>
        </w:rPr>
        <w:t xml:space="preserve">1. ANTECEDENTES</w:t>
      </w:r>
    </w:p>
    <w:p w:rsidR="00000000" w:rsidDel="00000000" w:rsidP="00000000" w:rsidRDefault="00000000" w:rsidRPr="00000000" w14:paraId="0000001E">
      <w:pPr>
        <w:spacing w:line="360" w:lineRule="auto"/>
        <w:jc w:val="both"/>
        <w:rPr/>
      </w:pPr>
      <w:r w:rsidDel="00000000" w:rsidR="00000000" w:rsidRPr="00000000">
        <w:rPr>
          <w:rtl w:val="0"/>
        </w:rPr>
        <w:t xml:space="preserve">Con fecha 19 de agosto de 2004, Bembos denunció a Renzos por la supuesta comisión de actos de competencia desleal en las modalidades de confusión y explotación de la reputación ajena, supuestos ejemplificados en los artículos 8 y 14, respectivamente, del Decreto Ley N° 26122 (en adelante Ley sobre Represión de la Competencia Desleal).</w:t>
      </w:r>
    </w:p>
    <w:p w:rsidR="00000000" w:rsidDel="00000000" w:rsidP="00000000" w:rsidRDefault="00000000" w:rsidRPr="00000000" w14:paraId="0000001F">
      <w:pPr>
        <w:spacing w:line="360" w:lineRule="auto"/>
        <w:jc w:val="both"/>
        <w:rPr/>
      </w:pPr>
      <w:r w:rsidDel="00000000" w:rsidR="00000000" w:rsidRPr="00000000">
        <w:rPr>
          <w:rtl w:val="0"/>
        </w:rPr>
        <w:t xml:space="preserve">Según los términos de la denuncia, Bembos es una empresa que por más de quince (15) años se ha desarrollado en el rubro de expendio de comida rápida, empleando durante este período una determinada estructura en sus establecimientos. Esta estructura, a decir de Bembos, involucra tanto el aspecto interno como el aspecto externo de sus establecimientos y permite que los consumidores distingan a su empresa de sus competidores.</w:t>
      </w:r>
    </w:p>
    <w:p w:rsidR="00000000" w:rsidDel="00000000" w:rsidP="00000000" w:rsidRDefault="00000000" w:rsidRPr="00000000" w14:paraId="00000020">
      <w:pPr>
        <w:spacing w:line="360" w:lineRule="auto"/>
        <w:jc w:val="both"/>
        <w:rPr/>
      </w:pPr>
      <w:r w:rsidDel="00000000" w:rsidR="00000000" w:rsidRPr="00000000">
        <w:rPr>
          <w:rtl w:val="0"/>
        </w:rPr>
        <w:t xml:space="preserve">A decir de la denunciante, Renzos es una empresa nueva en el rubro de expendio de comida rápida, cuyo único establecimiento, según las impresiones fotográficas que adjuntó en su escrito de denuncia, cuenta con una estructura casi idéntica a la de los locales de Bembos.</w:t>
      </w:r>
    </w:p>
    <w:p w:rsidR="00000000" w:rsidDel="00000000" w:rsidP="00000000" w:rsidRDefault="00000000" w:rsidRPr="00000000" w14:paraId="00000021">
      <w:pPr>
        <w:spacing w:line="360" w:lineRule="auto"/>
        <w:jc w:val="both"/>
        <w:rPr/>
      </w:pPr>
      <w:r w:rsidDel="00000000" w:rsidR="00000000" w:rsidRPr="00000000">
        <w:rPr>
          <w:rtl w:val="0"/>
        </w:rPr>
        <w:t xml:space="preserve">La denunciante señaló que las características del establecimiento de Renzos ocasionan que los consumidores concurran a éste local por la falsa creencia de que se trata de uno de los establecimientos de Bembos, por lo que esperan que los productos y servicios de Renzos sean iguales a los que brinda la denunciante, ocasionando una confusión sobre las prestaciones de ambas empresas.</w:t>
      </w:r>
    </w:p>
    <w:p w:rsidR="00000000" w:rsidDel="00000000" w:rsidP="00000000" w:rsidRDefault="00000000" w:rsidRPr="00000000" w14:paraId="00000022">
      <w:pPr>
        <w:spacing w:line="360" w:lineRule="auto"/>
        <w:jc w:val="both"/>
        <w:rPr/>
      </w:pPr>
      <w:r w:rsidDel="00000000" w:rsidR="00000000" w:rsidRPr="00000000">
        <w:rPr>
          <w:rtl w:val="0"/>
        </w:rPr>
        <w:t xml:space="preserve">De otro lado, Bembos manifestó que la estética arquitectónica de sus locales no puede ser considerada parte de una moda actual. Esta circunstancia, a su criterio, conlleva a que la imitación de los elementos que conforman la estética de sus establecimientos signifique un aprovechamiento indebido de la reputación que tendría Bembos en el mercado.</w:t>
      </w:r>
    </w:p>
    <w:p w:rsidR="00000000" w:rsidDel="00000000" w:rsidP="00000000" w:rsidRDefault="00000000" w:rsidRPr="00000000" w14:paraId="00000023">
      <w:pPr>
        <w:spacing w:line="360" w:lineRule="auto"/>
        <w:jc w:val="both"/>
        <w:rPr/>
      </w:pPr>
      <w:r w:rsidDel="00000000" w:rsidR="00000000" w:rsidRPr="00000000">
        <w:rPr>
          <w:rtl w:val="0"/>
        </w:rPr>
        <w:t xml:space="preserve">Por lo anterior, Bembos solicitó a la Comisión que declarara fundada la denuncia, que impusiera una multa a la denunciada y que, en calidad de medidas complementarias, ordenara el cese inmediato de los actos denunciados o el cierre del local comercial de Renzos, el decomiso de los bienes de falsa identificación que se encuentren en dicho establecimiento y la publicación de la resolución condenatoria.</w:t>
      </w:r>
    </w:p>
    <w:p w:rsidR="00000000" w:rsidDel="00000000" w:rsidP="00000000" w:rsidRDefault="00000000" w:rsidRPr="00000000" w14:paraId="00000024">
      <w:pPr>
        <w:spacing w:line="360" w:lineRule="auto"/>
        <w:jc w:val="both"/>
        <w:rPr/>
      </w:pPr>
      <w:r w:rsidDel="00000000" w:rsidR="00000000" w:rsidRPr="00000000">
        <w:rPr>
          <w:rtl w:val="0"/>
        </w:rPr>
        <w:t xml:space="preserve">Mediante la Resolución N° 1 de fecha 26 de agosto de 2004, la Comisión admitió a trámite la denuncia presentada por Bembos en contra de Renzos por la presunta comisión de actos de competencia desleal en las modalidades de confusión y explotación de la reputación ajena y requirió a las partes información referida a los hechos denunciados. Asimismo, denegó la medida cautelar solicitada por Bembos y ordenó, de oficio y sin notificación previa, la realización de una inspección en el local de la denunciada.</w:t>
      </w:r>
    </w:p>
    <w:p w:rsidR="00000000" w:rsidDel="00000000" w:rsidP="00000000" w:rsidRDefault="00000000" w:rsidRPr="00000000" w14:paraId="00000025">
      <w:pPr>
        <w:spacing w:line="360" w:lineRule="auto"/>
        <w:jc w:val="both"/>
        <w:rPr/>
      </w:pPr>
      <w:r w:rsidDel="00000000" w:rsidR="00000000" w:rsidRPr="00000000">
        <w:rPr>
          <w:rtl w:val="0"/>
        </w:rPr>
        <w:t xml:space="preserve">En su escrito de descargo de fecha 24 de setiembre de 2004, Renzos manifestó que su empresa no había cometido actos de competencia desleal en la modalidad de confusión debido a que no está dedicada al expendio de comida rápida ni se desenvuelve en el mismo segmento del mercado que la denunciante, cuyos establecimientos comerciales, a diferencia del establecimiento de Renzos, se ubican en distritos en los que habitan consumidores de condición económica alta, quienes podría fácilmente distinguir entre el local comercial de Renzos y los locales comerciales de Bembos.</w:t>
      </w:r>
    </w:p>
    <w:p w:rsidR="00000000" w:rsidDel="00000000" w:rsidP="00000000" w:rsidRDefault="00000000" w:rsidRPr="00000000" w14:paraId="00000026">
      <w:pPr>
        <w:spacing w:line="360" w:lineRule="auto"/>
        <w:jc w:val="both"/>
        <w:rPr/>
      </w:pPr>
      <w:r w:rsidDel="00000000" w:rsidR="00000000" w:rsidRPr="00000000">
        <w:rPr>
          <w:rtl w:val="0"/>
        </w:rPr>
        <w:t xml:space="preserve">Respecto a la estructura tanto interna como externa de su local, la denunciada señaló que ésta presenta elementos que la harían distinta de la estructura que presentan los establecimientos comerciales de Bembos y que, por ende, es imposible que generen confusión ante los consumidores.</w:t>
      </w:r>
    </w:p>
    <w:p w:rsidR="00000000" w:rsidDel="00000000" w:rsidP="00000000" w:rsidRDefault="00000000" w:rsidRPr="00000000" w14:paraId="00000027">
      <w:pPr>
        <w:spacing w:line="360" w:lineRule="auto"/>
        <w:jc w:val="both"/>
        <w:rPr/>
      </w:pPr>
      <w:r w:rsidDel="00000000" w:rsidR="00000000" w:rsidRPr="00000000">
        <w:rPr>
          <w:rtl w:val="0"/>
        </w:rPr>
        <w:t xml:space="preserve">De igual modo, Renzos señaló que su empresa no se estaría aprovechando de la reputación presuntamente ganada por la denunciante en el mercado, pues los productos que expende son distintos a los que se venden en los locales de Bembos.</w:t>
      </w:r>
    </w:p>
    <w:p w:rsidR="00000000" w:rsidDel="00000000" w:rsidP="00000000" w:rsidRDefault="00000000" w:rsidRPr="00000000" w14:paraId="00000028">
      <w:pPr>
        <w:spacing w:line="360" w:lineRule="auto"/>
        <w:jc w:val="both"/>
        <w:rPr/>
      </w:pPr>
      <w:r w:rsidDel="00000000" w:rsidR="00000000" w:rsidRPr="00000000">
        <w:rPr>
          <w:rtl w:val="0"/>
        </w:rPr>
        <w:t xml:space="preserve">Asimismo, la denunciada indicó que la similitud que existe en la parte interna de los establecimientos de ambas empresas se debe al uso de un diseño común entre los establecimientos que prestan servicios de restaurante de esta especie.</w:t>
      </w:r>
    </w:p>
    <w:p w:rsidR="00000000" w:rsidDel="00000000" w:rsidP="00000000" w:rsidRDefault="00000000" w:rsidRPr="00000000" w14:paraId="00000029">
      <w:pPr>
        <w:spacing w:line="360" w:lineRule="auto"/>
        <w:jc w:val="both"/>
        <w:rPr/>
      </w:pPr>
      <w:r w:rsidDel="00000000" w:rsidR="00000000" w:rsidRPr="00000000">
        <w:rPr>
          <w:rtl w:val="0"/>
        </w:rPr>
        <w:t xml:space="preserve">El 17 de septiembre de 2004, funcionarios del Área de Fiscalización del Indecopi realizaron una diligencia de inspección ocular, incluida la toma de fotografías, en el local comercial de Renzos.</w:t>
      </w:r>
    </w:p>
    <w:p w:rsidR="00000000" w:rsidDel="00000000" w:rsidP="00000000" w:rsidRDefault="00000000" w:rsidRPr="00000000" w14:paraId="0000002A">
      <w:pPr>
        <w:spacing w:line="360" w:lineRule="auto"/>
        <w:jc w:val="both"/>
        <w:rPr/>
      </w:pPr>
      <w:r w:rsidDel="00000000" w:rsidR="00000000" w:rsidRPr="00000000">
        <w:rPr>
          <w:rtl w:val="0"/>
        </w:rPr>
        <w:t xml:space="preserve">Con fecha 22 de septiembre de 2004, Bembos reiteró su pedido de medida cautelar contra la denunciada, en mérito a lo actuado en la inspección realizada con fecha 17 de septiembre de 2004.</w:t>
      </w:r>
    </w:p>
    <w:p w:rsidR="00000000" w:rsidDel="00000000" w:rsidP="00000000" w:rsidRDefault="00000000" w:rsidRPr="00000000" w14:paraId="0000002B">
      <w:pPr>
        <w:spacing w:line="360" w:lineRule="auto"/>
        <w:jc w:val="both"/>
        <w:rPr/>
      </w:pPr>
      <w:r w:rsidDel="00000000" w:rsidR="00000000" w:rsidRPr="00000000">
        <w:rPr>
          <w:rtl w:val="0"/>
        </w:rPr>
        <w:t xml:space="preserve">Mediante Proveído N° 4 de fecha 29 de setiembre de 2004, la Secretaría Técnica agregó al expediente el Informe N° 097-2004-FYE/AFI emitido por el Área de Fiscalización del Indecopi que dio cuenta de la diligencia de inspección ocular, incluida la toma de fotografías, realizada por dicha oficina en el local comercial de Renzos.</w:t>
      </w:r>
    </w:p>
    <w:p w:rsidR="00000000" w:rsidDel="00000000" w:rsidP="00000000" w:rsidRDefault="00000000" w:rsidRPr="00000000" w14:paraId="0000002C">
      <w:pPr>
        <w:spacing w:line="360" w:lineRule="auto"/>
        <w:jc w:val="both"/>
        <w:rPr/>
      </w:pPr>
      <w:r w:rsidDel="00000000" w:rsidR="00000000" w:rsidRPr="00000000">
        <w:rPr>
          <w:rtl w:val="0"/>
        </w:rPr>
        <w:t xml:space="preserve">Con fecha 12 de octubre de 2004, Renzos presentó un escrito oponiéndose al pedido de imposición de medida cautelar reiterado por Bembos con fecha 22 de septiembre de 2004.</w:t>
      </w:r>
    </w:p>
    <w:p w:rsidR="00000000" w:rsidDel="00000000" w:rsidP="00000000" w:rsidRDefault="00000000" w:rsidRPr="00000000" w14:paraId="0000002D">
      <w:pPr>
        <w:spacing w:line="360" w:lineRule="auto"/>
        <w:jc w:val="both"/>
        <w:rPr/>
      </w:pPr>
      <w:r w:rsidDel="00000000" w:rsidR="00000000" w:rsidRPr="00000000">
        <w:rPr>
          <w:rtl w:val="0"/>
        </w:rPr>
        <w:t xml:space="preserve">Mediante Resolución N° 3 de fecha 15 de octubre de 2004, la Comisión ordenó a Renzos, en calidad de medida cautelar, que cerrara temporalmente su establecimiento comercial ubicado en la Avenida Belisario Suárez N° 499, Urbanización San Juan, Distrito de San Juan de Miraflores, Provincia y Departamento de Lima, en tanto que presentara, en su aspecto tanto interno como externo, elementos que pudieran generar confusión en los consumidores sobre su origen empresarial, con respecto a los establecimientos de Bembos.</w:t>
      </w:r>
    </w:p>
    <w:p w:rsidR="00000000" w:rsidDel="00000000" w:rsidP="00000000" w:rsidRDefault="00000000" w:rsidRPr="00000000" w14:paraId="0000002E">
      <w:pPr>
        <w:spacing w:line="360" w:lineRule="auto"/>
        <w:jc w:val="both"/>
        <w:rPr/>
      </w:pPr>
      <w:r w:rsidDel="00000000" w:rsidR="00000000" w:rsidRPr="00000000">
        <w:rPr>
          <w:rtl w:val="0"/>
        </w:rPr>
        <w:t xml:space="preserve">Con fecha 26 de octubre de 2004, Renzos presentó un escrito objetando el Informe N° 097-2004- FYE/AFI y las fotografías que se adjuntaron a mismo, así como el Informe de Secretaría Técnica de fecha 13 de septiembre de 2004, señalando que dichos documentos proporcionaban datos parciales sobre la estructura de su local comercial.</w:t>
      </w:r>
    </w:p>
    <w:p w:rsidR="00000000" w:rsidDel="00000000" w:rsidP="00000000" w:rsidRDefault="00000000" w:rsidRPr="00000000" w14:paraId="0000002F">
      <w:pPr>
        <w:spacing w:line="360" w:lineRule="auto"/>
        <w:jc w:val="both"/>
        <w:rPr/>
      </w:pPr>
      <w:r w:rsidDel="00000000" w:rsidR="00000000" w:rsidRPr="00000000">
        <w:rPr>
          <w:rtl w:val="0"/>
        </w:rPr>
        <w:t xml:space="preserve">Mediante escritos de fechas 28 de octubre y 12 de noviembre de 2004, la denunciada señaló que ante la imposibilidad de cerrar temporalmente su local comercial, había procedido a cambiar los elementos que, a su criterio, se habían injustamente considerado como distintivos de Bembos.</w:t>
      </w:r>
    </w:p>
    <w:p w:rsidR="00000000" w:rsidDel="00000000" w:rsidP="00000000" w:rsidRDefault="00000000" w:rsidRPr="00000000" w14:paraId="00000030">
      <w:pPr>
        <w:spacing w:line="360" w:lineRule="auto"/>
        <w:jc w:val="both"/>
        <w:rPr/>
      </w:pPr>
      <w:r w:rsidDel="00000000" w:rsidR="00000000" w:rsidRPr="00000000">
        <w:rPr>
          <w:rtl w:val="0"/>
        </w:rPr>
        <w:t xml:space="preserve">Mediante Proveído N° 9 de fecha 18 de noviembre de 2004, la Secretaría Técnica agregó al expediente el Informe de Secretaría Técnica de la misma fecha y el Informe N° 124-2004-FYE/AFI que da cuenta de la diligencia de una nueva inspección ocular, incluida también la toma de fotografías, realizada por personal del Área de Fiscalización del Indecopi en el local de Renzos con fecha 8 de noviembre de 2004.</w:t>
      </w:r>
    </w:p>
    <w:p w:rsidR="00000000" w:rsidDel="00000000" w:rsidP="00000000" w:rsidRDefault="00000000" w:rsidRPr="00000000" w14:paraId="00000031">
      <w:pPr>
        <w:spacing w:line="360" w:lineRule="auto"/>
        <w:jc w:val="both"/>
        <w:rPr/>
      </w:pPr>
      <w:r w:rsidDel="00000000" w:rsidR="00000000" w:rsidRPr="00000000">
        <w:rPr>
          <w:rtl w:val="0"/>
        </w:rPr>
        <w:t xml:space="preserve">Con fecha 25 de noviembre de 2004 Renzos presentó un escrito formulando tacha y una denominada “observación” contra el Informe N° 124-2004-FYE/AFI.</w:t>
      </w:r>
    </w:p>
    <w:p w:rsidR="00000000" w:rsidDel="00000000" w:rsidP="00000000" w:rsidRDefault="00000000" w:rsidRPr="00000000" w14:paraId="00000032">
      <w:pPr>
        <w:spacing w:line="360" w:lineRule="auto"/>
        <w:jc w:val="both"/>
        <w:rPr/>
      </w:pPr>
      <w:r w:rsidDel="00000000" w:rsidR="00000000" w:rsidRPr="00000000">
        <w:rPr>
          <w:rtl w:val="0"/>
        </w:rPr>
        <w:t xml:space="preserve">En sus escritos de fechas 1 y 3 de diciembre de 2004, Bembos señaló que las modificaciones realizadas por Renzos en su local comercial no significaban que dicha empresa hubiera dejado de crear confusión en los consumidores respecto de sus locales comerciales.</w:t>
      </w:r>
    </w:p>
    <w:p w:rsidR="00000000" w:rsidDel="00000000" w:rsidP="00000000" w:rsidRDefault="00000000" w:rsidRPr="00000000" w14:paraId="00000033">
      <w:pPr>
        <w:spacing w:line="360" w:lineRule="auto"/>
        <w:jc w:val="both"/>
        <w:rPr/>
      </w:pPr>
      <w:r w:rsidDel="00000000" w:rsidR="00000000" w:rsidRPr="00000000">
        <w:rPr>
          <w:rtl w:val="0"/>
        </w:rPr>
        <w:t xml:space="preserve">Mediante Proveído N° 11 de fecha 3 de diciembre de 2004, la Secretaría Técnica agregó al expediente el Informe de Secretaría Técnica de fecha 29 de noviembre de 2004 que dio cuenta de la inspección ocular, incluida la toma de fotografías, realizada en cinco (5) locales comerciales de Bembos.</w:t>
      </w:r>
    </w:p>
    <w:p w:rsidR="00000000" w:rsidDel="00000000" w:rsidP="00000000" w:rsidRDefault="00000000" w:rsidRPr="00000000" w14:paraId="00000034">
      <w:pPr>
        <w:spacing w:line="360" w:lineRule="auto"/>
        <w:jc w:val="both"/>
        <w:rPr/>
      </w:pPr>
      <w:r w:rsidDel="00000000" w:rsidR="00000000" w:rsidRPr="00000000">
        <w:rPr>
          <w:rtl w:val="0"/>
        </w:rPr>
        <w:t xml:space="preserve">Con fecha 13 de enero de 2004, la denunciante presentó un escrito en el que reiteró los argumentos señalados a lo largo del procedimiento.</w:t>
      </w:r>
    </w:p>
    <w:p w:rsidR="00000000" w:rsidDel="00000000" w:rsidP="00000000" w:rsidRDefault="00000000" w:rsidRPr="00000000" w14:paraId="00000035">
      <w:pPr>
        <w:spacing w:line="360" w:lineRule="auto"/>
        <w:jc w:val="both"/>
        <w:rPr/>
      </w:pPr>
      <w:r w:rsidDel="00000000" w:rsidR="00000000" w:rsidRPr="00000000">
        <w:rPr>
          <w:rtl w:val="0"/>
        </w:rPr>
        <w:t xml:space="preserve">Con fecha 24 de enero de 2005, se llevó a cabo la audiencia de informe oral en la que las partes expusieron ante la Comisión los argumentos que sustentan sus posiciones y pedidos.</w:t>
      </w:r>
    </w:p>
    <w:p w:rsidR="00000000" w:rsidDel="00000000" w:rsidP="00000000" w:rsidRDefault="00000000" w:rsidRPr="00000000" w14:paraId="00000036">
      <w:pPr>
        <w:spacing w:line="360" w:lineRule="auto"/>
        <w:jc w:val="both"/>
        <w:rPr/>
      </w:pPr>
      <w:r w:rsidDel="00000000" w:rsidR="00000000" w:rsidRPr="00000000">
        <w:rPr>
          <w:rtl w:val="0"/>
        </w:rPr>
        <w:t xml:space="preserve">Mediante Proveído N° 14 de fecha 25 de enero de 2005, la Secretaría Técnica agregó al expediente y puso en conocimiento de las partes el Informe de Secretaría Técnica de fecha 25 de enero de 2005 y el Memorándum N° 182-2005/OSD-Ra emitido por la Oficina de Signos Distintivos del Indecopi respecto de las marcas vigentes cuya titularidad corresponde a Bembos.</w:t>
      </w:r>
    </w:p>
    <w:p w:rsidR="00000000" w:rsidDel="00000000" w:rsidP="00000000" w:rsidRDefault="00000000" w:rsidRPr="00000000" w14:paraId="00000037">
      <w:pPr>
        <w:spacing w:line="360" w:lineRule="auto"/>
        <w:jc w:val="both"/>
        <w:rPr/>
      </w:pPr>
      <w:r w:rsidDel="00000000" w:rsidR="00000000" w:rsidRPr="00000000">
        <w:rPr>
          <w:rtl w:val="0"/>
        </w:rPr>
        <w:t xml:space="preserve">Con fecha 25 de enero de 2005, la denunciada presentó dos (2) escritos reiterando los argumentos expuestos a lo largo del presente procedimiento y adjuntando la Partida de Nacimiento del hijo de la gerente general de Renzos, cuyo nombre, Kevin Renzo Flores Gonzales, a decir de la denunciada, habría inspirado su denominación social como persona jurídica.</w:t>
      </w:r>
    </w:p>
    <w:p w:rsidR="00000000" w:rsidDel="00000000" w:rsidP="00000000" w:rsidRDefault="00000000" w:rsidRPr="00000000" w14:paraId="00000038">
      <w:pPr>
        <w:spacing w:line="360" w:lineRule="auto"/>
        <w:jc w:val="both"/>
        <w:rPr/>
      </w:pPr>
      <w:r w:rsidDel="00000000" w:rsidR="00000000" w:rsidRPr="00000000">
        <w:rPr>
          <w:rtl w:val="0"/>
        </w:rPr>
        <w:t xml:space="preserve">Mediante Proveído N° 15 de fecha 25 de enero de 2005 la Secretaría Técnica requirió a Renzos para que se pronuncie respecto del presunto incumplimiento de lo dispuesto por la medida cautelar ordenada mediante la Resolución N° 3, según lo imputado por la denunciante.</w:t>
      </w:r>
    </w:p>
    <w:p w:rsidR="00000000" w:rsidDel="00000000" w:rsidP="00000000" w:rsidRDefault="00000000" w:rsidRPr="00000000" w14:paraId="00000039">
      <w:pPr>
        <w:spacing w:line="360" w:lineRule="auto"/>
        <w:jc w:val="both"/>
        <w:rPr/>
      </w:pPr>
      <w:r w:rsidDel="00000000" w:rsidR="00000000" w:rsidRPr="00000000">
        <w:rPr>
          <w:rtl w:val="0"/>
        </w:rPr>
        <w:t xml:space="preserve">Con fecha 28 de enero Renzos señaló que cambió totalmente la presentación de su establecimiento al pintar sus paredes con otros colores. Asimismo, señaló que las inspecciones realizadas en su local en el presente procedimiento, no habían reparado en la existencia de un horno empotrado, una cascada, cuadros de escenas religiosas y paneles publicitarios.</w:t>
      </w:r>
    </w:p>
    <w:p w:rsidR="00000000" w:rsidDel="00000000" w:rsidP="00000000" w:rsidRDefault="00000000" w:rsidRPr="00000000" w14:paraId="0000003A">
      <w:pPr>
        <w:spacing w:line="360" w:lineRule="auto"/>
        <w:jc w:val="both"/>
        <w:rPr/>
      </w:pPr>
      <w:r w:rsidDel="00000000" w:rsidR="00000000" w:rsidRPr="00000000">
        <w:rPr>
          <w:rtl w:val="0"/>
        </w:rPr>
        <w:t xml:space="preserve">2. MATERIA CONTROVERTIDA</w:t>
      </w:r>
    </w:p>
    <w:p w:rsidR="00000000" w:rsidDel="00000000" w:rsidP="00000000" w:rsidRDefault="00000000" w:rsidRPr="00000000" w14:paraId="0000003B">
      <w:pPr>
        <w:spacing w:line="360" w:lineRule="auto"/>
        <w:jc w:val="both"/>
        <w:rPr/>
      </w:pPr>
      <w:r w:rsidDel="00000000" w:rsidR="00000000" w:rsidRPr="00000000">
        <w:rPr>
          <w:rtl w:val="0"/>
        </w:rPr>
        <w:t xml:space="preserve">De acuerdo a los antecedentes expuestos, en el presente caso corresponde a la Comisión determinar lo siguiente:</w:t>
      </w:r>
    </w:p>
    <w:p w:rsidR="00000000" w:rsidDel="00000000" w:rsidP="00000000" w:rsidRDefault="00000000" w:rsidRPr="00000000" w14:paraId="0000003C">
      <w:pPr>
        <w:spacing w:line="360" w:lineRule="auto"/>
        <w:jc w:val="both"/>
        <w:rPr/>
      </w:pPr>
      <w:r w:rsidDel="00000000" w:rsidR="00000000" w:rsidRPr="00000000">
        <w:rPr>
          <w:rtl w:val="0"/>
        </w:rPr>
        <w:t xml:space="preserve">1. La tacha y la denominada “observación” formuladas por Bembos contra el Informe N° 124- 2004-FYE/AFI.</w:t>
      </w:r>
    </w:p>
    <w:p w:rsidR="00000000" w:rsidDel="00000000" w:rsidP="00000000" w:rsidRDefault="00000000" w:rsidRPr="00000000" w14:paraId="0000003D">
      <w:pPr>
        <w:spacing w:line="360" w:lineRule="auto"/>
        <w:jc w:val="both"/>
        <w:rPr/>
      </w:pPr>
      <w:r w:rsidDel="00000000" w:rsidR="00000000" w:rsidRPr="00000000">
        <w:rPr>
          <w:rtl w:val="0"/>
        </w:rPr>
        <w:t xml:space="preserve">2. La presunta comisión de actos de competencia desleal en la modalidad de confusión.</w:t>
      </w:r>
    </w:p>
    <w:p w:rsidR="00000000" w:rsidDel="00000000" w:rsidP="00000000" w:rsidRDefault="00000000" w:rsidRPr="00000000" w14:paraId="0000003E">
      <w:pPr>
        <w:spacing w:line="360" w:lineRule="auto"/>
        <w:jc w:val="both"/>
        <w:rPr/>
      </w:pPr>
      <w:r w:rsidDel="00000000" w:rsidR="00000000" w:rsidRPr="00000000">
        <w:rPr>
          <w:rtl w:val="0"/>
        </w:rPr>
        <w:t xml:space="preserve">3. La presunta comisión de actos de competencia desleal en la modalidad de explotación a la reputación ajena.</w:t>
      </w:r>
    </w:p>
    <w:p w:rsidR="00000000" w:rsidDel="00000000" w:rsidP="00000000" w:rsidRDefault="00000000" w:rsidRPr="00000000" w14:paraId="0000003F">
      <w:pPr>
        <w:spacing w:line="360" w:lineRule="auto"/>
        <w:jc w:val="both"/>
        <w:rPr/>
      </w:pPr>
      <w:r w:rsidDel="00000000" w:rsidR="00000000" w:rsidRPr="00000000">
        <w:rPr>
          <w:rtl w:val="0"/>
        </w:rPr>
        <w:t xml:space="preserve">4. La pertinencia de ordenar las medidas complementarias solicitadas por la denunciante.</w:t>
      </w:r>
    </w:p>
    <w:p w:rsidR="00000000" w:rsidDel="00000000" w:rsidP="00000000" w:rsidRDefault="00000000" w:rsidRPr="00000000" w14:paraId="00000040">
      <w:pPr>
        <w:spacing w:line="360" w:lineRule="auto"/>
        <w:jc w:val="both"/>
        <w:rPr/>
      </w:pPr>
      <w:r w:rsidDel="00000000" w:rsidR="00000000" w:rsidRPr="00000000">
        <w:rPr>
          <w:rtl w:val="0"/>
        </w:rPr>
        <w:t xml:space="preserve">5. La sanción administrativa aplicable, de ser el caso.</w:t>
      </w:r>
    </w:p>
    <w:p w:rsidR="00000000" w:rsidDel="00000000" w:rsidP="00000000" w:rsidRDefault="00000000" w:rsidRPr="00000000" w14:paraId="00000041">
      <w:pPr>
        <w:spacing w:line="360" w:lineRule="auto"/>
        <w:jc w:val="both"/>
        <w:rPr/>
      </w:pPr>
      <w:r w:rsidDel="00000000" w:rsidR="00000000" w:rsidRPr="00000000">
        <w:rPr>
          <w:rtl w:val="0"/>
        </w:rPr>
        <w:t xml:space="preserve">6. La pertinencia de sancionar a la denunciada por el presunto incumplimiento de la medida cautelar ordenada en la resolución N° 3.</w:t>
      </w:r>
    </w:p>
    <w:p w:rsidR="00000000" w:rsidDel="00000000" w:rsidP="00000000" w:rsidRDefault="00000000" w:rsidRPr="00000000" w14:paraId="00000042">
      <w:pPr>
        <w:spacing w:line="360" w:lineRule="auto"/>
        <w:jc w:val="both"/>
        <w:rPr/>
      </w:pPr>
      <w:r w:rsidDel="00000000" w:rsidR="00000000" w:rsidRPr="00000000">
        <w:rPr>
          <w:rtl w:val="0"/>
        </w:rPr>
        <w:t xml:space="preserve">7. La pertinencia de establecer un precedente de observancia obligatoria.</w:t>
      </w:r>
    </w:p>
    <w:p w:rsidR="00000000" w:rsidDel="00000000" w:rsidP="00000000" w:rsidRDefault="00000000" w:rsidRPr="00000000" w14:paraId="00000043">
      <w:pPr>
        <w:spacing w:line="360" w:lineRule="auto"/>
        <w:jc w:val="both"/>
        <w:rPr/>
      </w:pPr>
      <w:r w:rsidDel="00000000" w:rsidR="00000000" w:rsidRPr="00000000">
        <w:rPr>
          <w:rtl w:val="0"/>
        </w:rPr>
        <w:t xml:space="preserve">8. La pertinencia de ordenar la publicación de la presente resolución.</w:t>
      </w:r>
    </w:p>
    <w:p w:rsidR="00000000" w:rsidDel="00000000" w:rsidP="00000000" w:rsidRDefault="00000000" w:rsidRPr="00000000" w14:paraId="00000044">
      <w:pPr>
        <w:spacing w:line="360" w:lineRule="auto"/>
        <w:jc w:val="both"/>
        <w:rPr/>
      </w:pPr>
      <w:r w:rsidDel="00000000" w:rsidR="00000000" w:rsidRPr="00000000">
        <w:rPr>
          <w:rtl w:val="0"/>
        </w:rPr>
        <w:t xml:space="preserve">3. ANÁLISIS DE LA MATERIA CONTROVERTIDA</w:t>
      </w:r>
    </w:p>
    <w:p w:rsidR="00000000" w:rsidDel="00000000" w:rsidP="00000000" w:rsidRDefault="00000000" w:rsidRPr="00000000" w14:paraId="00000045">
      <w:pPr>
        <w:spacing w:line="360" w:lineRule="auto"/>
        <w:jc w:val="both"/>
        <w:rPr/>
      </w:pPr>
      <w:r w:rsidDel="00000000" w:rsidR="00000000" w:rsidRPr="00000000">
        <w:rPr>
          <w:rtl w:val="0"/>
        </w:rPr>
        <w:t xml:space="preserve">3.1. Sobre la tacha y la denominada “observación” formuladas por Bembos contra el Informe N° 124-2004-FYE/AFI.</w:t>
      </w:r>
    </w:p>
    <w:p w:rsidR="00000000" w:rsidDel="00000000" w:rsidP="00000000" w:rsidRDefault="00000000" w:rsidRPr="00000000" w14:paraId="00000046">
      <w:pPr>
        <w:spacing w:line="360" w:lineRule="auto"/>
        <w:jc w:val="both"/>
        <w:rPr/>
      </w:pPr>
      <w:r w:rsidDel="00000000" w:rsidR="00000000" w:rsidRPr="00000000">
        <w:rPr>
          <w:rtl w:val="0"/>
        </w:rPr>
        <w:t xml:space="preserve">3.1.1. Marco legal y criterios aplicables</w:t>
      </w:r>
    </w:p>
    <w:p w:rsidR="00000000" w:rsidDel="00000000" w:rsidP="00000000" w:rsidRDefault="00000000" w:rsidRPr="00000000" w14:paraId="00000047">
      <w:pPr>
        <w:spacing w:line="360" w:lineRule="auto"/>
        <w:jc w:val="both"/>
        <w:rPr/>
      </w:pPr>
      <w:r w:rsidDel="00000000" w:rsidR="00000000" w:rsidRPr="00000000">
        <w:rPr>
          <w:rtl w:val="0"/>
        </w:rPr>
        <w:t xml:space="preserve">En el presente caso, cabe señalar que las normas especiales que regulan los procedimientos tramitados ante la Comisión de Represión de la Competencia Desleal, contenidas en el Título V del Decreto Legislativo N° 807 (en adelante, Ley sobre Facultades, Normas y Organización del Indecopi, no establecen disposiciones específicas sobre el tratamiento de las tachas que puedan deducir las partes sobre un medio probatorio ofrecido por su contraparte en un procedimiento administrativo.</w:t>
      </w:r>
    </w:p>
    <w:p w:rsidR="00000000" w:rsidDel="00000000" w:rsidP="00000000" w:rsidRDefault="00000000" w:rsidRPr="00000000" w14:paraId="00000048">
      <w:pPr>
        <w:spacing w:line="360" w:lineRule="auto"/>
        <w:jc w:val="both"/>
        <w:rPr/>
      </w:pPr>
      <w:r w:rsidDel="00000000" w:rsidR="00000000" w:rsidRPr="00000000">
        <w:rPr>
          <w:rtl w:val="0"/>
        </w:rPr>
        <w:t xml:space="preserve">Se debe tener en cuenta que la Ley N° 27444 (en adelante, Ley del Procedimiento Administrativo General), de aplicación supletoria al presente procedimiento en virtud del artículo II de su Título Preliminar,4 no regula la figura procesal de la tacha. Sin embargo, debe observarse que la Primera Disposición Complementaria5 del Código Procesal Civil establece que las disposiciones contenidas en dicho cuerpo legal se apliquen, de manera supletoria, a los demás ordenamientos procesales siempre que sean compatibles con su naturaleza.</w:t>
      </w:r>
    </w:p>
    <w:p w:rsidR="00000000" w:rsidDel="00000000" w:rsidP="00000000" w:rsidRDefault="00000000" w:rsidRPr="00000000" w14:paraId="00000049">
      <w:pPr>
        <w:spacing w:line="360" w:lineRule="auto"/>
        <w:jc w:val="both"/>
        <w:rPr/>
      </w:pPr>
      <w:r w:rsidDel="00000000" w:rsidR="00000000" w:rsidRPr="00000000">
        <w:rPr>
          <w:rtl w:val="0"/>
        </w:rPr>
        <w:t xml:space="preserve">Al respecto, el artículo 300 del Código Procesal Civil prescribe que se puede interponer tachas contra los testigos y documentos, así como oposición contra una inspección. De otro lado, el artículo 242 del referido cuerpo normativo7 señala que si se declara fundada la tacha de un documento por haberse probado su falsedad, el mismo no tendrá eficacia probatoria.</w:t>
      </w:r>
    </w:p>
    <w:p w:rsidR="00000000" w:rsidDel="00000000" w:rsidP="00000000" w:rsidRDefault="00000000" w:rsidRPr="00000000" w14:paraId="0000004A">
      <w:pPr>
        <w:spacing w:line="360" w:lineRule="auto"/>
        <w:jc w:val="both"/>
        <w:rPr/>
      </w:pPr>
      <w:r w:rsidDel="00000000" w:rsidR="00000000" w:rsidRPr="00000000">
        <w:rPr>
          <w:rtl w:val="0"/>
        </w:rPr>
        <w:t xml:space="preserve">Asimismo, el artículo 301 del mencionado cuerpo normativo señala que al formularse una tacha contra medios probatorios, deben precisarse con claridad los fundamentos que la sustentan y acompañarla de la prueba respectiva. Además, dicho artículo indica que la tacha, la oposición o sus absoluciones, que no cumplan con los requisitos indicados, serán declaradas inadmisibles de plano por el Juez en decisión inimpugnable.</w:t>
      </w:r>
    </w:p>
    <w:p w:rsidR="00000000" w:rsidDel="00000000" w:rsidP="00000000" w:rsidRDefault="00000000" w:rsidRPr="00000000" w14:paraId="0000004B">
      <w:pPr>
        <w:spacing w:line="360" w:lineRule="auto"/>
        <w:jc w:val="both"/>
        <w:rPr/>
      </w:pPr>
      <w:r w:rsidDel="00000000" w:rsidR="00000000" w:rsidRPr="00000000">
        <w:rPr>
          <w:rtl w:val="0"/>
        </w:rPr>
        <w:t xml:space="preserve">Finalmente, conforme a lo establecido por el artículo 145 de la Ley del Procedimiento Administrativo General, toda autoridad del Estado tiene la facultad de aplicar la norma pertinente al caso concreto, aun cuando ésta no haya sido invocada o fuere errónea la cita legal.</w:t>
      </w:r>
    </w:p>
    <w:p w:rsidR="00000000" w:rsidDel="00000000" w:rsidP="00000000" w:rsidRDefault="00000000" w:rsidRPr="00000000" w14:paraId="0000004C">
      <w:pPr>
        <w:spacing w:line="360" w:lineRule="auto"/>
        <w:jc w:val="both"/>
        <w:rPr/>
      </w:pPr>
      <w:r w:rsidDel="00000000" w:rsidR="00000000" w:rsidRPr="00000000">
        <w:rPr>
          <w:rtl w:val="0"/>
        </w:rPr>
        <w:t xml:space="preserve">3.1.2. Aplicación al caso concreto</w:t>
      </w:r>
    </w:p>
    <w:p w:rsidR="00000000" w:rsidDel="00000000" w:rsidP="00000000" w:rsidRDefault="00000000" w:rsidRPr="00000000" w14:paraId="0000004D">
      <w:pPr>
        <w:spacing w:line="360" w:lineRule="auto"/>
        <w:jc w:val="both"/>
        <w:rPr/>
      </w:pPr>
      <w:r w:rsidDel="00000000" w:rsidR="00000000" w:rsidRPr="00000000">
        <w:rPr>
          <w:rtl w:val="0"/>
        </w:rPr>
        <w:t xml:space="preserve">En el presente caso, la denunciada ha formulado una tacha y una denominada “observación” contra el Informe N° 124-2004-FYE/AFI, señalando que el mismo es inexacto al no ajustarse a la realidad de los hechos. Sin embargo, no adjuntó algún medio probatorio que sustente dichas imputaciones.</w:t>
      </w:r>
    </w:p>
    <w:p w:rsidR="00000000" w:rsidDel="00000000" w:rsidP="00000000" w:rsidRDefault="00000000" w:rsidRPr="00000000" w14:paraId="0000004E">
      <w:pPr>
        <w:spacing w:line="360" w:lineRule="auto"/>
        <w:jc w:val="both"/>
        <w:rPr/>
      </w:pPr>
      <w:r w:rsidDel="00000000" w:rsidR="00000000" w:rsidRPr="00000000">
        <w:rPr>
          <w:rtl w:val="0"/>
        </w:rPr>
        <w:t xml:space="preserve">En este punto cabe atender que, conforme las normas señaladas, corresponde calificar dicho pedido respecto de la denominada “observación” contra el Informe N° 124-2004-FYE/AFI, como una oposición, dado que no existe la invocada figura de la observación regulada en ámbito procesal como medio para discutir la eficacia o validez de un medio probatorio - salvo el caso de dictámenes periciales. Más aún si se considera que el Informe N° 124-2004-FYE/AFI expresa los resultados de una inspección y que las partes pueden plantear oposiciones a las inspecciones.</w:t>
      </w:r>
    </w:p>
    <w:p w:rsidR="00000000" w:rsidDel="00000000" w:rsidP="00000000" w:rsidRDefault="00000000" w:rsidRPr="00000000" w14:paraId="0000004F">
      <w:pPr>
        <w:spacing w:line="360" w:lineRule="auto"/>
        <w:jc w:val="both"/>
        <w:rPr/>
      </w:pPr>
      <w:r w:rsidDel="00000000" w:rsidR="00000000" w:rsidRPr="00000000">
        <w:rPr>
          <w:rtl w:val="0"/>
        </w:rPr>
        <w:t xml:space="preserve">Sin embargo, sobre el particular, la Comisión considera que, en aplicación de lo dispuesto por el artículo 301 del Código Procesal Civil, citado en el numeral precedente, la tacha y oposición formuladas por Renzos en contra del Informe N° 124-2004-FYE/AFI deben declararse inadmisibles en la medida que la denunciada no ha presentado medios probatorios que acrediten los vicios alegados en su escrito de fecha 25 de noviembre de 2004.</w:t>
      </w:r>
    </w:p>
    <w:p w:rsidR="00000000" w:rsidDel="00000000" w:rsidP="00000000" w:rsidRDefault="00000000" w:rsidRPr="00000000" w14:paraId="00000050">
      <w:pPr>
        <w:spacing w:line="360" w:lineRule="auto"/>
        <w:jc w:val="both"/>
        <w:rPr/>
      </w:pPr>
      <w:r w:rsidDel="00000000" w:rsidR="00000000" w:rsidRPr="00000000">
        <w:rPr>
          <w:rtl w:val="0"/>
        </w:rPr>
        <w:t xml:space="preserve">3.2. Marco general sobre la libre imitación de iniciativas empresariales</w:t>
      </w:r>
    </w:p>
    <w:p w:rsidR="00000000" w:rsidDel="00000000" w:rsidP="00000000" w:rsidRDefault="00000000" w:rsidRPr="00000000" w14:paraId="00000051">
      <w:pPr>
        <w:spacing w:line="360" w:lineRule="auto"/>
        <w:jc w:val="both"/>
        <w:rPr/>
      </w:pPr>
      <w:r w:rsidDel="00000000" w:rsidR="00000000" w:rsidRPr="00000000">
        <w:rPr>
          <w:rtl w:val="0"/>
        </w:rPr>
        <w:t xml:space="preserve">Conforme ha establecido la Comisión en reiterados pronunciamientos, y en los Lineamientos sobre Competencia Desleal y Publicidad Comercial, en una economía social de mercado la imitación de iniciativas empresariales es una conducta permitida, razón por la cual la regulación de la imitación debe tender a reducir el número de restricciones aplicables al ejercicio de esta práctica empresarial.</w:t>
      </w:r>
    </w:p>
    <w:p w:rsidR="00000000" w:rsidDel="00000000" w:rsidP="00000000" w:rsidRDefault="00000000" w:rsidRPr="00000000" w14:paraId="00000052">
      <w:pPr>
        <w:spacing w:line="360" w:lineRule="auto"/>
        <w:jc w:val="both"/>
        <w:rPr/>
      </w:pPr>
      <w:r w:rsidDel="00000000" w:rsidR="00000000" w:rsidRPr="00000000">
        <w:rPr>
          <w:rtl w:val="0"/>
        </w:rPr>
        <w:t xml:space="preserve">En este contexto, el llamado “derecho a imitar” constituye una de las manifestaciones de la libertad de iniciativa privada en materia económica, consagrada en la Constitución Política del Perú, la cual a su vez es uno de los principios que rigen el modelo de economía social de mercado.</w:t>
      </w:r>
    </w:p>
    <w:p w:rsidR="00000000" w:rsidDel="00000000" w:rsidP="00000000" w:rsidRDefault="00000000" w:rsidRPr="00000000" w14:paraId="00000053">
      <w:pPr>
        <w:spacing w:line="360" w:lineRule="auto"/>
        <w:jc w:val="both"/>
        <w:rPr/>
      </w:pPr>
      <w:r w:rsidDel="00000000" w:rsidR="00000000" w:rsidRPr="00000000">
        <w:rPr>
          <w:rtl w:val="0"/>
        </w:rPr>
        <w:t xml:space="preserve">Sin embargo, conforme ha señalado la Comisión en reiterados pronunciamientos, este derecho no tiene un carácter absoluto sino que se encuentra limitado por los derechos de propiedad intelectual y por el deber de diferenciación que se exige a los proveedores que emplean formas que son comunes en el mercado.</w:t>
      </w:r>
    </w:p>
    <w:p w:rsidR="00000000" w:rsidDel="00000000" w:rsidP="00000000" w:rsidRDefault="00000000" w:rsidRPr="00000000" w14:paraId="00000054">
      <w:pPr>
        <w:spacing w:line="360" w:lineRule="auto"/>
        <w:jc w:val="both"/>
        <w:rPr/>
      </w:pPr>
      <w:r w:rsidDel="00000000" w:rsidR="00000000" w:rsidRPr="00000000">
        <w:rPr>
          <w:rtl w:val="0"/>
        </w:rPr>
        <w:t xml:space="preserve">El primer limite al denominado “derecho a imitar” está constituido por los derechos de propiedad intelectual que, a través de la protección de signos distintivos mediante el registro de marcas, de la protección de invenciones mediante patentes y de obras mediante los derechos de autor, entre otros, permite al titular de una creación protegerse de la imitación de sus competidores y excluirlos del uso de elementos que, pudiendo ser imitados, en principio, son de uso y disposición exclusivos del titular del derecho de propiedad intelectual.</w:t>
      </w:r>
    </w:p>
    <w:p w:rsidR="00000000" w:rsidDel="00000000" w:rsidP="00000000" w:rsidRDefault="00000000" w:rsidRPr="00000000" w14:paraId="00000055">
      <w:pPr>
        <w:spacing w:line="360" w:lineRule="auto"/>
        <w:jc w:val="both"/>
        <w:rPr/>
      </w:pPr>
      <w:r w:rsidDel="00000000" w:rsidR="00000000" w:rsidRPr="00000000">
        <w:rPr>
          <w:rtl w:val="0"/>
        </w:rPr>
        <w:t xml:space="preserve">El segundo límite al denominado “derecho a imitar” está constituido por el “deber de diferenciación” que se exige a los proveedores que emplean formas que son comunes en el mercado. Este límite se refiere a que si bien los concurrentes en el mercado tienen derecho a imitar, tienen sin embargo el deber jurídico de evitar, en observancia de la buena fe comercial, que alguna imitación que desarrollen genere: i) confusión respecto del origen empresarial de los productos o servicios que colocan en el mercado o de los establecimientos utilizados para tal fin; ii) una obstaculización o impedimento sistemáticos que impidan al concurrente imitado diferenciarse en el mercado; y, iii) un aprovechamiento indebido de la reputación que corresponde a otro concurrente en el mercado. Estas tres conductas son consideradas contrarias a la buena fe comercial que rige las actividades comerciales y son ejemplificadas como tales, respectivamente, en los artículos 8, 13 y 14 de la Ley sobre Represión de la Competencia Desleal.</w:t>
      </w:r>
    </w:p>
    <w:p w:rsidR="00000000" w:rsidDel="00000000" w:rsidP="00000000" w:rsidRDefault="00000000" w:rsidRPr="00000000" w14:paraId="00000056">
      <w:pPr>
        <w:spacing w:line="360" w:lineRule="auto"/>
        <w:jc w:val="both"/>
        <w:rPr/>
      </w:pPr>
      <w:r w:rsidDel="00000000" w:rsidR="00000000" w:rsidRPr="00000000">
        <w:rPr>
          <w:rtl w:val="0"/>
        </w:rPr>
        <w:t xml:space="preserve">Al respecto del “deber de diferenciación” aludido, la doctrina ha expresado que “en numerosas ocasiones, creaciones materiales que no merecen ser monopolizadas (es decir, que no cumplen los requisitos fijados por la regulación correspondiente, careciendo su titular, por tanto, de un derecho de excluir a la competencia) pueden actuar, sin embargo, como mecanismos de diferenciación, por lo que su imitación puede originar confusión en el mercado sobre la procedencia empresarial”, por lo que ante dicha situación corresponde “imponer al imitador de las formas de productos y de sus presentaciones no protegibles como marcas la carga de atenuar o eliminar la confundibilidad, esto es, la imposición de una carga de diferenciación”.</w:t>
      </w:r>
    </w:p>
    <w:p w:rsidR="00000000" w:rsidDel="00000000" w:rsidP="00000000" w:rsidRDefault="00000000" w:rsidRPr="00000000" w14:paraId="00000057">
      <w:pPr>
        <w:spacing w:line="360" w:lineRule="auto"/>
        <w:jc w:val="both"/>
        <w:rPr/>
      </w:pPr>
      <w:r w:rsidDel="00000000" w:rsidR="00000000" w:rsidRPr="00000000">
        <w:rPr>
          <w:rtl w:val="0"/>
        </w:rPr>
        <w:t xml:space="preserve">En conclusión, el ordenamiento legal concede una doble protección a la creatividad empresarial. Mediante la protección de derechos de propiedad intelectual concede al creador un monopolio temporal para el aprovechamiento de su creación y la recuperación de los costos incurridos para su puesta a disposición en el mercado. De otro lado, mediante la disciplina de la represión de la competencia desleal sanciona la imitación que es capaz de generar confusión ante el consumidor. Ambos mecanismos, complementarios entre sí, se despliegan sin perjuicio de los mecanismos propios del mercado que le permiten al empresario innovador apropiarse de las ganancias que trae consigo la innovación, en medida suficiente para que se vea estimulado a invertir para alcanzar su creación.</w:t>
      </w:r>
    </w:p>
    <w:p w:rsidR="00000000" w:rsidDel="00000000" w:rsidP="00000000" w:rsidRDefault="00000000" w:rsidRPr="00000000" w14:paraId="00000058">
      <w:pPr>
        <w:spacing w:line="360" w:lineRule="auto"/>
        <w:jc w:val="both"/>
        <w:rPr/>
      </w:pPr>
      <w:r w:rsidDel="00000000" w:rsidR="00000000" w:rsidRPr="00000000">
        <w:rPr>
          <w:rtl w:val="0"/>
        </w:rPr>
        <w:t xml:space="preserve">Es en este desarrollo que el artículo 4 de la Ley sobre Represión de la Competencia Desleal dispone que no se considera como acto de competencia desleal la imitación de prestaciones o iniciativas empresariales ajenas, salvo en lo que este mismo cuerpo normativo disponga o en tanto se lesione o se infrinja un derecho de exclusiva reconocido por la ley. En suma, el principio general que rige el mercado es el de la libre imitación de las prestaciones e iniciativas empresariales ajenas, siempre y cuando no se vulnere derechos de exclusiva reconocidos por la ley (tales como derechos de autor, patentes de invención o marcas) y no se incurra en los supuestos de infracción ejemplificados en la Ley sobre Represión de la Competencia Desleal (tales como los antes señalados actos de confusión, de imitación sistemática o de explotación indebida de la reputación ajena). Dichos supuestos constituyen excepciones prohibidas al principio de libre imitación de iniciativas y prestaciones empresariales contenido en el artículo 4 mencionado anteriormente.</w:t>
      </w:r>
    </w:p>
    <w:p w:rsidR="00000000" w:rsidDel="00000000" w:rsidP="00000000" w:rsidRDefault="00000000" w:rsidRPr="00000000" w14:paraId="00000059">
      <w:pPr>
        <w:spacing w:line="360" w:lineRule="auto"/>
        <w:jc w:val="both"/>
        <w:rPr/>
      </w:pPr>
      <w:r w:rsidDel="00000000" w:rsidR="00000000" w:rsidRPr="00000000">
        <w:rPr>
          <w:rtl w:val="0"/>
        </w:rPr>
        <w:t xml:space="preserve">En todo caso, corresponde precisar que, las posibles sanciones aplicables a todo acto de competencia desleal, se imponen sobre la base de la tipificación contenida en el artículo 6 de la Ley sobre Represión de la Competencia Desleal, ello sin perjuicio de que, como ocurre en el presente caso, se analice la conducta denunciada según los supuestos ejemplificados en la misma ley como actos de confusión y/o de explotación indebida de la reputación ajena.</w:t>
      </w:r>
    </w:p>
    <w:p w:rsidR="00000000" w:rsidDel="00000000" w:rsidP="00000000" w:rsidRDefault="00000000" w:rsidRPr="00000000" w14:paraId="0000005A">
      <w:pPr>
        <w:spacing w:line="360" w:lineRule="auto"/>
        <w:jc w:val="both"/>
        <w:rPr/>
      </w:pPr>
      <w:r w:rsidDel="00000000" w:rsidR="00000000" w:rsidRPr="00000000">
        <w:rPr>
          <w:rtl w:val="0"/>
        </w:rPr>
        <w:t xml:space="preserve">3.3. Los presuntos actos de confusión</w:t>
      </w:r>
    </w:p>
    <w:p w:rsidR="00000000" w:rsidDel="00000000" w:rsidP="00000000" w:rsidRDefault="00000000" w:rsidRPr="00000000" w14:paraId="0000005B">
      <w:pPr>
        <w:spacing w:line="360" w:lineRule="auto"/>
        <w:jc w:val="both"/>
        <w:rPr/>
      </w:pPr>
      <w:r w:rsidDel="00000000" w:rsidR="00000000" w:rsidRPr="00000000">
        <w:rPr>
          <w:rtl w:val="0"/>
        </w:rPr>
        <w:t xml:space="preserve">3.3.1. Normativa y criterios aplicables</w:t>
      </w:r>
    </w:p>
    <w:p w:rsidR="00000000" w:rsidDel="00000000" w:rsidP="00000000" w:rsidRDefault="00000000" w:rsidRPr="00000000" w14:paraId="0000005C">
      <w:pPr>
        <w:spacing w:line="360" w:lineRule="auto"/>
        <w:jc w:val="both"/>
        <w:rPr/>
      </w:pPr>
      <w:r w:rsidDel="00000000" w:rsidR="00000000" w:rsidRPr="00000000">
        <w:rPr>
          <w:rtl w:val="0"/>
        </w:rPr>
        <w:t xml:space="preserve">La Ley sobre Represión de la Competencia Desleal ejemplifica como acto de competencia desleal:</w:t>
      </w:r>
    </w:p>
    <w:p w:rsidR="00000000" w:rsidDel="00000000" w:rsidP="00000000" w:rsidRDefault="00000000" w:rsidRPr="00000000" w14:paraId="0000005D">
      <w:pPr>
        <w:spacing w:line="360" w:lineRule="auto"/>
        <w:jc w:val="both"/>
        <w:rPr/>
      </w:pPr>
      <w:r w:rsidDel="00000000" w:rsidR="00000000" w:rsidRPr="00000000">
        <w:rPr>
          <w:rtl w:val="0"/>
        </w:rPr>
        <w:t xml:space="preserve">“Artículo 8°.- Actos de confusión: Se considera desleal toda conducta destinada a crear confusión con la actividad, las prestaciones, los productos o el establecimiento ajeno.</w:t>
      </w:r>
    </w:p>
    <w:p w:rsidR="00000000" w:rsidDel="00000000" w:rsidP="00000000" w:rsidRDefault="00000000" w:rsidRPr="00000000" w14:paraId="0000005E">
      <w:pPr>
        <w:spacing w:line="360" w:lineRule="auto"/>
        <w:jc w:val="both"/>
        <w:rPr/>
      </w:pPr>
      <w:r w:rsidDel="00000000" w:rsidR="00000000" w:rsidRPr="00000000">
        <w:rPr>
          <w:rtl w:val="0"/>
        </w:rPr>
        <w:t xml:space="preserve">El riesgo de confusión a que se vean expuestos los consumidores respecto de la procedencia empresarial de la actividad, producto, establecimiento o prestación es suficiente para determinar la deslealtad de una práctica.”</w:t>
      </w:r>
    </w:p>
    <w:p w:rsidR="00000000" w:rsidDel="00000000" w:rsidP="00000000" w:rsidRDefault="00000000" w:rsidRPr="00000000" w14:paraId="0000005F">
      <w:pPr>
        <w:spacing w:line="360" w:lineRule="auto"/>
        <w:jc w:val="both"/>
        <w:rPr/>
      </w:pPr>
      <w:r w:rsidDel="00000000" w:rsidR="00000000" w:rsidRPr="00000000">
        <w:rPr>
          <w:rtl w:val="0"/>
        </w:rPr>
        <w:t xml:space="preserve">En este sentido, será un acto contrario a la buena fe comercial y, en consecuencia, un acto de competencia desleal toda conducta que sea capaz de generar una falsa impresión en el consumidor respecto de la procedencia empresarial de un producto, servicio o establecimiento. Es decir, será desleal toda conducta que sea capaz de producir un riesgo de confusión respecto de la identidad y/o vinculaciones de la empresa que produce o comercializa determinados bienes o servicios que se ofrecen en el mercado.</w:t>
      </w:r>
    </w:p>
    <w:p w:rsidR="00000000" w:rsidDel="00000000" w:rsidP="00000000" w:rsidRDefault="00000000" w:rsidRPr="00000000" w14:paraId="00000060">
      <w:pPr>
        <w:spacing w:line="360" w:lineRule="auto"/>
        <w:jc w:val="both"/>
        <w:rPr/>
      </w:pPr>
      <w:r w:rsidDel="00000000" w:rsidR="00000000" w:rsidRPr="00000000">
        <w:rPr>
          <w:rtl w:val="0"/>
        </w:rPr>
        <w:t xml:space="preserve">Los actos de confusión como actos de competencia desleal pueden presentarse bajo tres manifestaciones:</w:t>
      </w:r>
    </w:p>
    <w:p w:rsidR="00000000" w:rsidDel="00000000" w:rsidP="00000000" w:rsidRDefault="00000000" w:rsidRPr="00000000" w14:paraId="00000061">
      <w:pPr>
        <w:spacing w:line="360" w:lineRule="auto"/>
        <w:jc w:val="both"/>
        <w:rPr/>
      </w:pPr>
      <w:r w:rsidDel="00000000" w:rsidR="00000000" w:rsidRPr="00000000">
        <w:rPr>
          <w:rtl w:val="0"/>
        </w:rPr>
        <w:t xml:space="preserve">a) Confusión directa: cuando los consumidores no pueden diferenciar que los bienes, los servicios o los establecimientos de una empresa concurrente en el mercado corresponden a otra empresa concurrente, viéndose inducidos a error. Esta confusión podría ocurrir a causa de una extrema similitud en signos, presentación o apariencia general de los bienes, los servicios o los establecimientos en cuestión.</w:t>
      </w:r>
    </w:p>
    <w:p w:rsidR="00000000" w:rsidDel="00000000" w:rsidP="00000000" w:rsidRDefault="00000000" w:rsidRPr="00000000" w14:paraId="00000062">
      <w:pPr>
        <w:spacing w:line="360" w:lineRule="auto"/>
        <w:jc w:val="both"/>
        <w:rPr/>
      </w:pPr>
      <w:r w:rsidDel="00000000" w:rsidR="00000000" w:rsidRPr="00000000">
        <w:rPr>
          <w:rtl w:val="0"/>
        </w:rPr>
        <w:t xml:space="preserve">b) Confusión indirecta: cuando los consumidores pueden diferenciar claramente bienes, servicios o establecimientos distintos, pero pueden pensar, equivocadamente, que pertenecen a la misma empresa concurrente, cuando en realidad pertenecen a dos empresas concurrentes distintas. Esta confusión podría ocurrir a causa de algunas similitudes en signos, presentación o apariencia general de los bienes, los servicios o los establecimientos en cuestión.</w:t>
      </w:r>
    </w:p>
    <w:p w:rsidR="00000000" w:rsidDel="00000000" w:rsidP="00000000" w:rsidRDefault="00000000" w:rsidRPr="00000000" w14:paraId="00000063">
      <w:pPr>
        <w:spacing w:line="360" w:lineRule="auto"/>
        <w:jc w:val="both"/>
        <w:rPr/>
      </w:pPr>
      <w:r w:rsidDel="00000000" w:rsidR="00000000" w:rsidRPr="00000000">
        <w:rPr>
          <w:rtl w:val="0"/>
        </w:rPr>
        <w:t xml:space="preserve">c) Confusión en la modalidad de riesgo de asociación: cuando los consumidores pueden diferenciar bienes, prestaciones o establecimientos de una empresa concurrente en el mercado frente a los de otra empresa concurrente, pero pueden, como consecuencia de la similitud existente entre algunos elementos que caracterizan las ofertas de ambas empresas, considerar que entre ambas existe vinculación económica u organizativa, cuando en realidad dicha vinculación no existe. Esta confusión podría ocurrir a causa de una mínima similitud en signos, presentación o apariencia general de los bienes, los servicios o los establecimientos en cuestión.</w:t>
      </w:r>
    </w:p>
    <w:p w:rsidR="00000000" w:rsidDel="00000000" w:rsidP="00000000" w:rsidRDefault="00000000" w:rsidRPr="00000000" w14:paraId="00000064">
      <w:pPr>
        <w:spacing w:line="360" w:lineRule="auto"/>
        <w:jc w:val="both"/>
        <w:rPr/>
      </w:pPr>
      <w:r w:rsidDel="00000000" w:rsidR="00000000" w:rsidRPr="00000000">
        <w:rPr>
          <w:rtl w:val="0"/>
        </w:rPr>
        <w:t xml:space="preserve">Conforme ha señalado la Comisión en diversos pronunciamientos y es recogido en los Lineamientos sobre Competencia Desleal y Publicidad Comercial, para determinar la existencia de actos de confusión, debe analizarse, entre otros:</w:t>
      </w:r>
    </w:p>
    <w:p w:rsidR="00000000" w:rsidDel="00000000" w:rsidP="00000000" w:rsidRDefault="00000000" w:rsidRPr="00000000" w14:paraId="00000065">
      <w:pPr>
        <w:spacing w:line="360" w:lineRule="auto"/>
        <w:jc w:val="both"/>
        <w:rPr/>
      </w:pPr>
      <w:r w:rsidDel="00000000" w:rsidR="00000000" w:rsidRPr="00000000">
        <w:rPr>
          <w:rtl w:val="0"/>
        </w:rPr>
        <w:t xml:space="preserve">1. La forma como se distribuyen los bienes productos o se proveen los servicios confrontados en el análisis, así como las características generales de los establecimientos. En este punto se analiza, por ejemplo, si los bienes, servicios o establecimientos concurren en una misma plaza, en un mismo segmento del mercado o empleando similares canales de distribución.</w:t>
      </w:r>
    </w:p>
    <w:p w:rsidR="00000000" w:rsidDel="00000000" w:rsidP="00000000" w:rsidRDefault="00000000" w:rsidRPr="00000000" w14:paraId="00000066">
      <w:pPr>
        <w:spacing w:line="360" w:lineRule="auto"/>
        <w:jc w:val="both"/>
        <w:rPr/>
      </w:pPr>
      <w:r w:rsidDel="00000000" w:rsidR="00000000" w:rsidRPr="00000000">
        <w:rPr>
          <w:rtl w:val="0"/>
        </w:rPr>
        <w:t xml:space="preserve">2. El nivel de experiencia de los consumidores que adquieren tales bienes o servicios, o acuden a tales establecimientos.</w:t>
      </w:r>
    </w:p>
    <w:p w:rsidR="00000000" w:rsidDel="00000000" w:rsidP="00000000" w:rsidRDefault="00000000" w:rsidRPr="00000000" w14:paraId="00000067">
      <w:pPr>
        <w:spacing w:line="360" w:lineRule="auto"/>
        <w:jc w:val="both"/>
        <w:rPr/>
      </w:pPr>
      <w:r w:rsidDel="00000000" w:rsidR="00000000" w:rsidRPr="00000000">
        <w:rPr>
          <w:rtl w:val="0"/>
        </w:rPr>
        <w:t xml:space="preserve">3. El grado de distintividad de los signos, presentación o apariencia general de los bienes, de la prestación del servicio, del establecimiento, o de sus medios de identificación que cumplan una función indicadora de procedencia empresarial.</w:t>
      </w:r>
    </w:p>
    <w:p w:rsidR="00000000" w:rsidDel="00000000" w:rsidP="00000000" w:rsidRDefault="00000000" w:rsidRPr="00000000" w14:paraId="00000068">
      <w:pPr>
        <w:spacing w:line="360" w:lineRule="auto"/>
        <w:jc w:val="both"/>
        <w:rPr/>
      </w:pPr>
      <w:r w:rsidDel="00000000" w:rsidR="00000000" w:rsidRPr="00000000">
        <w:rPr>
          <w:rtl w:val="0"/>
        </w:rPr>
        <w:t xml:space="preserve">4. El grado de similitud existente entre los elementos (signos, presentación o apariencia general) que corresponden a los bienes, servicios o establecimientos objeto de confrontación.</w:t>
      </w:r>
    </w:p>
    <w:p w:rsidR="00000000" w:rsidDel="00000000" w:rsidP="00000000" w:rsidRDefault="00000000" w:rsidRPr="00000000" w14:paraId="00000069">
      <w:pPr>
        <w:spacing w:line="360" w:lineRule="auto"/>
        <w:jc w:val="both"/>
        <w:rPr/>
      </w:pPr>
      <w:r w:rsidDel="00000000" w:rsidR="00000000" w:rsidRPr="00000000">
        <w:rPr>
          <w:rtl w:val="0"/>
        </w:rPr>
        <w:t xml:space="preserve">Finalmente, el riesgo de confusión debe evaluarse atendiendo a la capacidad de diferenciación de un consumidor razonable, es decir, de un consumidor que se desenvuelve en el mercado con diligencia ordinaria a fin de tomar decisiones prudentes y teniendo en cuenta la presentación o el aspecto general de los productos o de las prestaciones materia de evaluación.</w:t>
      </w:r>
    </w:p>
    <w:p w:rsidR="00000000" w:rsidDel="00000000" w:rsidP="00000000" w:rsidRDefault="00000000" w:rsidRPr="00000000" w14:paraId="0000006A">
      <w:pPr>
        <w:spacing w:line="360" w:lineRule="auto"/>
        <w:jc w:val="both"/>
        <w:rPr/>
      </w:pPr>
      <w:r w:rsidDel="00000000" w:rsidR="00000000" w:rsidRPr="00000000">
        <w:rPr>
          <w:rtl w:val="0"/>
        </w:rPr>
        <w:t xml:space="preserve">3.3.2. Aplicación al caso concreto</w:t>
      </w:r>
    </w:p>
    <w:p w:rsidR="00000000" w:rsidDel="00000000" w:rsidP="00000000" w:rsidRDefault="00000000" w:rsidRPr="00000000" w14:paraId="0000006B">
      <w:pPr>
        <w:spacing w:line="360" w:lineRule="auto"/>
        <w:jc w:val="both"/>
        <w:rPr/>
      </w:pPr>
      <w:r w:rsidDel="00000000" w:rsidR="00000000" w:rsidRPr="00000000">
        <w:rPr>
          <w:rtl w:val="0"/>
        </w:rPr>
        <w:t xml:space="preserve">De manera previa al análisis sobre riesgo de confusión que podría generar en los consumidores la apariencia interna y externa del establecimiento de Renzos que es objeto de la presente denuncia, respecto de los establecimientos de Bembos, se debe tener en cuenta los momentos en el que la denunciada y la denunciante empezaron a desarrollar sus actividades económicas con la apariencia que poseían sus establecimientos al momento de ser presentada la denuncia.</w:t>
      </w:r>
    </w:p>
    <w:p w:rsidR="00000000" w:rsidDel="00000000" w:rsidP="00000000" w:rsidRDefault="00000000" w:rsidRPr="00000000" w14:paraId="0000006C">
      <w:pPr>
        <w:spacing w:line="360" w:lineRule="auto"/>
        <w:jc w:val="both"/>
        <w:rPr/>
      </w:pPr>
      <w:r w:rsidDel="00000000" w:rsidR="00000000" w:rsidRPr="00000000">
        <w:rPr>
          <w:rtl w:val="0"/>
        </w:rPr>
        <w:t xml:space="preserve">Al respecto, Bembos señaló en su escrito de fecha 20 de setiembre de 2004 que el inicio de sus actividades y, por tanto, de la implementación de la estructura y decoración que sus locales ostentan en la actualidad se realizó en el año 1988. De su parte, conforme lo ha indicado Renzos en su escrito de descargo, esta empresa inició sus actividades con la presentación actual del local denunciado desde marzo de 2004.</w:t>
      </w:r>
    </w:p>
    <w:p w:rsidR="00000000" w:rsidDel="00000000" w:rsidP="00000000" w:rsidRDefault="00000000" w:rsidRPr="00000000" w14:paraId="0000006D">
      <w:pPr>
        <w:spacing w:line="360" w:lineRule="auto"/>
        <w:jc w:val="both"/>
        <w:rPr/>
      </w:pPr>
      <w:r w:rsidDel="00000000" w:rsidR="00000000" w:rsidRPr="00000000">
        <w:rPr>
          <w:rtl w:val="0"/>
        </w:rPr>
        <w:t xml:space="preserve">Por lo tanto, en la medida que ha quedado acreditado que Bembos inició sus actividades económicas con la presentación actual de sus locales por lo menos quince (15) años antes que Renzos, corresponde a la Comisión determinar si los elementos internos y externos que constituían el establecimiento de la denunciada pudieron haber generado un riesgo de confusión respecto de su procedencia empresarial, en relación con Bembos. Esta consideración es consistente con el análisis de los límites al denominado “derecho a imitar” pues si en el presente caso existe una empresa que sufre los efectos de la imitación denunciada, esta circunstancia podría ser verosímil únicamente si la denunciada incorporó con anterioridad a la denunciante los elementos internos y externos que conforman la apariencia de sus establecimientos.</w:t>
      </w:r>
    </w:p>
    <w:p w:rsidR="00000000" w:rsidDel="00000000" w:rsidP="00000000" w:rsidRDefault="00000000" w:rsidRPr="00000000" w14:paraId="0000006E">
      <w:pPr>
        <w:spacing w:line="360" w:lineRule="auto"/>
        <w:jc w:val="both"/>
        <w:rPr/>
      </w:pPr>
      <w:r w:rsidDel="00000000" w:rsidR="00000000" w:rsidRPr="00000000">
        <w:rPr>
          <w:rtl w:val="0"/>
        </w:rPr>
        <w:t xml:space="preserve">3.3.2.1 Los establecimientos analizados y los servicios prestados en ellos</w:t>
      </w:r>
    </w:p>
    <w:p w:rsidR="00000000" w:rsidDel="00000000" w:rsidP="00000000" w:rsidRDefault="00000000" w:rsidRPr="00000000" w14:paraId="0000006F">
      <w:pPr>
        <w:spacing w:line="360" w:lineRule="auto"/>
        <w:jc w:val="both"/>
        <w:rPr/>
      </w:pPr>
      <w:r w:rsidDel="00000000" w:rsidR="00000000" w:rsidRPr="00000000">
        <w:rPr>
          <w:rtl w:val="0"/>
        </w:rPr>
        <w:t xml:space="preserve">Cabe señalar que el objeto de la actividad de la empresa denunciante coincide con el objeto de la actividad de la empresa denunciada. Ambas se dedican a prestar en el mercado servicios de restaurante, por lo que expenden comidas y bebidas en los establecimientos bajo la conducción de cada una. Bembos expende principalmente sándwiches a base de hamburguesas y otras carnes, acompañados por papas fritas. Por su parte, Renzos manifestó comercializar pollos a la brasa, acompañados de papas, y licores.</w:t>
      </w:r>
    </w:p>
    <w:p w:rsidR="00000000" w:rsidDel="00000000" w:rsidP="00000000" w:rsidRDefault="00000000" w:rsidRPr="00000000" w14:paraId="00000070">
      <w:pPr>
        <w:spacing w:line="360" w:lineRule="auto"/>
        <w:jc w:val="both"/>
        <w:rPr/>
      </w:pPr>
      <w:r w:rsidDel="00000000" w:rsidR="00000000" w:rsidRPr="00000000">
        <w:rPr>
          <w:rtl w:val="0"/>
        </w:rPr>
        <w:t xml:space="preserve">Al respecto de este punto, Renzos señaló que sus servicios son brindados a los consumidores mediante métodos de atención que son distintos a los empleados por Bembos. Renzos indicó que, mientras en su establecimiento los consumidores son atendidos en sus mesas, en los establecimientos de Bembos se atiende a los consumidores mediante el método de autoservicio.</w:t>
      </w:r>
    </w:p>
    <w:p w:rsidR="00000000" w:rsidDel="00000000" w:rsidP="00000000" w:rsidRDefault="00000000" w:rsidRPr="00000000" w14:paraId="00000071">
      <w:pPr>
        <w:spacing w:line="360" w:lineRule="auto"/>
        <w:jc w:val="both"/>
        <w:rPr/>
      </w:pPr>
      <w:r w:rsidDel="00000000" w:rsidR="00000000" w:rsidRPr="00000000">
        <w:rPr>
          <w:rtl w:val="0"/>
        </w:rPr>
        <w:t xml:space="preserve">Asimismo, Renzos indicó que el segmento del mercado al que Bembos dirige sus servicios es el nivel socioeconómico alto, a diferencia del segmento al que se dirige Renzos, dado que su establecimiento está ubicado en una zona “popular”. Estos planteamientos no han sido contradichos por la denunciante.</w:t>
      </w:r>
    </w:p>
    <w:p w:rsidR="00000000" w:rsidDel="00000000" w:rsidP="00000000" w:rsidRDefault="00000000" w:rsidRPr="00000000" w14:paraId="00000072">
      <w:pPr>
        <w:spacing w:line="360" w:lineRule="auto"/>
        <w:jc w:val="both"/>
        <w:rPr/>
      </w:pPr>
      <w:r w:rsidDel="00000000" w:rsidR="00000000" w:rsidRPr="00000000">
        <w:rPr>
          <w:rtl w:val="0"/>
        </w:rPr>
        <w:t xml:space="preserve">Adicionalmente, respecto de la plaza en la que concurren los establecimientos tanto de la denunciada como de la denunciante, se puede apreciar que ambos se encuentran en la provincia de Lima por lo que es altamente probable que la mayoría de los potenciales consumidores de Renzos posean un conocimiento cuando menos referencial respecto de la existencia y de la apariencia externa de los locales de Bembos. La Comisión considera lo anterior por cuanto los establecimientos de la denunciante se encuentran ubicados en zonas comerciales de la provincia de Lima, las mismas que son frecuentadas por consumidores procedentes de todos los distritos de la referida provincia, incluyendo a los que proceden del distrito de San Juan de Miraflores, zona en la que se ubica el local de la denunciada.</w:t>
      </w:r>
    </w:p>
    <w:p w:rsidR="00000000" w:rsidDel="00000000" w:rsidP="00000000" w:rsidRDefault="00000000" w:rsidRPr="00000000" w14:paraId="00000073">
      <w:pPr>
        <w:spacing w:line="360" w:lineRule="auto"/>
        <w:jc w:val="both"/>
        <w:rPr/>
      </w:pPr>
      <w:r w:rsidDel="00000000" w:rsidR="00000000" w:rsidRPr="00000000">
        <w:rPr>
          <w:rtl w:val="0"/>
        </w:rPr>
        <w:t xml:space="preserve">Por las consideraciones antedichas, la Comisión considera que queda descartada, en el presente caso, la posibilidad de que el consumidor pueda ser víctima de una confusión directa. La Comisión aprecia que los diferentes platos ofrecidos por la denunciada respecto de la denunciante (pollos a la brasa frente a sándwiches a base de hamburguesas), la existencia al interior de su establecimiento de una cascada y cuadros de escenas religiosas, los diferentes métodos de atención al público que corresponden a cada una, así como los diferentes segmentos del mercado al que se dirigen sus prestaciones permiten que un consumidor pueda diferenciar un establecimiento de Renzos respecto de uno de los establecimientos de Bembos. En este sentido, no es posible advertir una extrema similitud en la presentación o apariencia general de los servicios prestados por cada una de las partes en sus establecimientos.</w:t>
      </w:r>
    </w:p>
    <w:p w:rsidR="00000000" w:rsidDel="00000000" w:rsidP="00000000" w:rsidRDefault="00000000" w:rsidRPr="00000000" w14:paraId="00000074">
      <w:pPr>
        <w:spacing w:line="360" w:lineRule="auto"/>
        <w:jc w:val="both"/>
        <w:rPr/>
      </w:pPr>
      <w:r w:rsidDel="00000000" w:rsidR="00000000" w:rsidRPr="00000000">
        <w:rPr>
          <w:rtl w:val="0"/>
        </w:rPr>
        <w:t xml:space="preserve">3.3.2.2 El nivel de experiencia de los consumidores que acuden a los establecimientos analizados y adquieren los servicios prestados en ellos</w:t>
      </w:r>
    </w:p>
    <w:p w:rsidR="00000000" w:rsidDel="00000000" w:rsidP="00000000" w:rsidRDefault="00000000" w:rsidRPr="00000000" w14:paraId="00000075">
      <w:pPr>
        <w:spacing w:line="360" w:lineRule="auto"/>
        <w:jc w:val="both"/>
        <w:rPr/>
      </w:pPr>
      <w:r w:rsidDel="00000000" w:rsidR="00000000" w:rsidRPr="00000000">
        <w:rPr>
          <w:rtl w:val="0"/>
        </w:rPr>
        <w:t xml:space="preserve">Sobre el particular, la Comisión considera pertinente precisar que el nivel de experiencia de los consumidores que adquieren los servicios de restaurante es significativo. Ante la prestación de este servicio, los consumidores dirigen una especial atención a las características del establecimiento al que concurren, analizando con especial cuidado la calidad y el precio de los alimentos y bebidas que en ellos se expenden.</w:t>
      </w:r>
    </w:p>
    <w:p w:rsidR="00000000" w:rsidDel="00000000" w:rsidP="00000000" w:rsidRDefault="00000000" w:rsidRPr="00000000" w14:paraId="00000076">
      <w:pPr>
        <w:spacing w:line="360" w:lineRule="auto"/>
        <w:jc w:val="both"/>
        <w:rPr/>
      </w:pPr>
      <w:r w:rsidDel="00000000" w:rsidR="00000000" w:rsidRPr="00000000">
        <w:rPr>
          <w:rtl w:val="0"/>
        </w:rPr>
        <w:t xml:space="preserve">Adicionalmente, cabe señalar que los consumidores, frente a estos servicios de restaurante observan, comparan y eligen las alternativas que les ofrecen diversas empresas concurrentes en el mercado. Asimismo, valoran las experiencias positivas que tienen en sus actos de consumo, premiando a las empresas con mayor eficiencia, efectuando visitas a sus establecimientos con mayor frecuencia y desarrollando distintos niveles de fidelidad.</w:t>
      </w:r>
    </w:p>
    <w:p w:rsidR="00000000" w:rsidDel="00000000" w:rsidP="00000000" w:rsidRDefault="00000000" w:rsidRPr="00000000" w14:paraId="00000077">
      <w:pPr>
        <w:spacing w:line="360" w:lineRule="auto"/>
        <w:jc w:val="both"/>
        <w:rPr/>
      </w:pPr>
      <w:r w:rsidDel="00000000" w:rsidR="00000000" w:rsidRPr="00000000">
        <w:rPr>
          <w:rtl w:val="0"/>
        </w:rPr>
        <w:t xml:space="preserve">3.3.2.3 El grado de distintividad de los signos, presentación y apariencia general de los establecimientos analizados que cumplan una función indicadora de procedencia empresarial.</w:t>
      </w:r>
    </w:p>
    <w:p w:rsidR="00000000" w:rsidDel="00000000" w:rsidP="00000000" w:rsidRDefault="00000000" w:rsidRPr="00000000" w14:paraId="00000078">
      <w:pPr>
        <w:spacing w:line="360" w:lineRule="auto"/>
        <w:jc w:val="both"/>
        <w:rPr/>
      </w:pPr>
      <w:r w:rsidDel="00000000" w:rsidR="00000000" w:rsidRPr="00000000">
        <w:rPr>
          <w:rtl w:val="0"/>
        </w:rPr>
        <w:t xml:space="preserve">Debe considerarse que en el mercado de servicios de restaurante, el aspecto interno y externo de los establecimientos no es por sí mismo un factor de suma importancia para la identificación de un origen empresarial determinado, por parte de los consumidores. Sin embargo, en algunos casos especiales, puede ocurrir que la combinación de ciertos elementos dispuestos de modo particular, tanto en el exterior como en el interior de los establecimientos, pueda permitir la identificación de determinada empresa concurrente en este mercado.</w:t>
      </w:r>
    </w:p>
    <w:p w:rsidR="00000000" w:rsidDel="00000000" w:rsidP="00000000" w:rsidRDefault="00000000" w:rsidRPr="00000000" w14:paraId="00000079">
      <w:pPr>
        <w:spacing w:line="360" w:lineRule="auto"/>
        <w:jc w:val="both"/>
        <w:rPr/>
      </w:pPr>
      <w:r w:rsidDel="00000000" w:rsidR="00000000" w:rsidRPr="00000000">
        <w:rPr>
          <w:rtl w:val="0"/>
        </w:rPr>
        <w:t xml:space="preserve">En este punto cabe destacar que la colocación de signos visibles tales como palabras o imágenes en los exteriores de los establecimientos en los que se prestan servicios de restaurante generalmente permite, sean marcas o no, identificar a las empresas concurrentes en este sector.</w:t>
      </w:r>
    </w:p>
    <w:p w:rsidR="00000000" w:rsidDel="00000000" w:rsidP="00000000" w:rsidRDefault="00000000" w:rsidRPr="00000000" w14:paraId="0000007A">
      <w:pPr>
        <w:spacing w:line="360" w:lineRule="auto"/>
        <w:jc w:val="both"/>
        <w:rPr/>
      </w:pPr>
      <w:r w:rsidDel="00000000" w:rsidR="00000000" w:rsidRPr="00000000">
        <w:rPr>
          <w:rtl w:val="0"/>
        </w:rPr>
        <w:t xml:space="preserve">3.3.2.4 El grado de similitud existente entre los elementos (signos, presentación o apariencia general) que corresponden a los establecimientos objeto de análisis.</w:t>
      </w:r>
    </w:p>
    <w:p w:rsidR="00000000" w:rsidDel="00000000" w:rsidP="00000000" w:rsidRDefault="00000000" w:rsidRPr="00000000" w14:paraId="0000007B">
      <w:pPr>
        <w:spacing w:line="360" w:lineRule="auto"/>
        <w:jc w:val="both"/>
        <w:rPr/>
      </w:pPr>
      <w:r w:rsidDel="00000000" w:rsidR="00000000" w:rsidRPr="00000000">
        <w:rPr>
          <w:rtl w:val="0"/>
        </w:rPr>
        <w:t xml:space="preserve">Luego de la actuación de los diferentes medios probatorios aportados por las partes, así como de los actuados resultantes de las inspecciones realizadas, tanto en el establecimiento de la denunciada como en los establecimientos de la denunciante, a lo largo del presente procedimiento, la Comisión observa que existen similitudes entre el establecimiento de Renzos y los establecimientos de Bembos respecto de los siguientes elementos en la parte externa: i) el uso y distribución de los colores amarillo, azul y rojo en la fachada; y, ii) el uso de figuras geométricas de color gris oscuro en mayólicas de color plomo claro ubicadas en la parte baja de la estructura del local denunciado.</w:t>
      </w:r>
    </w:p>
    <w:p w:rsidR="00000000" w:rsidDel="00000000" w:rsidP="00000000" w:rsidRDefault="00000000" w:rsidRPr="00000000" w14:paraId="0000007C">
      <w:pPr>
        <w:spacing w:line="360" w:lineRule="auto"/>
        <w:jc w:val="both"/>
        <w:rPr/>
      </w:pPr>
      <w:r w:rsidDel="00000000" w:rsidR="00000000" w:rsidRPr="00000000">
        <w:rPr>
          <w:rtl w:val="0"/>
        </w:rPr>
        <w:t xml:space="preserve">Del mismo modo, la Comisión observa que existen similitudes entre el establecimiento de Renzos y los establecimientos de Bembos respecto de los siguientes elementos en la parte interna: i) focos circulares incrustados en el techo, ubicados en forma lineal y continua; y, ii) lámparas colgantes de color blanco y de estructura metálica de color negro, suspendidas exclusivamente sobre mesas acompañadas de asientos tipo banca; iii) ubicación, forma y colores de las sillas, bancas mesas y colectores de basura; iv) diseño y color del piso; y, v) distribución de los colores amarillo, azul y rojo en las columnas, paredes y techo.</w:t>
      </w:r>
    </w:p>
    <w:p w:rsidR="00000000" w:rsidDel="00000000" w:rsidP="00000000" w:rsidRDefault="00000000" w:rsidRPr="00000000" w14:paraId="0000007D">
      <w:pPr>
        <w:spacing w:line="360" w:lineRule="auto"/>
        <w:jc w:val="both"/>
        <w:rPr/>
      </w:pPr>
      <w:r w:rsidDel="00000000" w:rsidR="00000000" w:rsidRPr="00000000">
        <w:rPr>
          <w:rtl w:val="0"/>
        </w:rPr>
        <w:t xml:space="preserve">Ante las constataciones antes señaladas, la Comisión considera que:</w:t>
      </w:r>
    </w:p>
    <w:p w:rsidR="00000000" w:rsidDel="00000000" w:rsidP="00000000" w:rsidRDefault="00000000" w:rsidRPr="00000000" w14:paraId="0000007E">
      <w:pPr>
        <w:spacing w:line="360" w:lineRule="auto"/>
        <w:jc w:val="both"/>
        <w:rPr/>
      </w:pPr>
      <w:r w:rsidDel="00000000" w:rsidR="00000000" w:rsidRPr="00000000">
        <w:rPr>
          <w:rtl w:val="0"/>
        </w:rPr>
        <w:t xml:space="preserve">1. - La disposición de los colores rojo, azul y amarillo, aplicados en diferentes formas geométricas, en la parte externa de los establecimientos de Bembos, ha devenido por su uso en el mercado, por sí mismo, en poderoso elemento que atribuye un determinado origen empresarial a sus establecimientos. Este elemento le permite a Bembos identificarse ante los consumidores y diferenciarse de sus competidores en el mercado.</w:t>
      </w:r>
    </w:p>
    <w:p w:rsidR="00000000" w:rsidDel="00000000" w:rsidP="00000000" w:rsidRDefault="00000000" w:rsidRPr="00000000" w14:paraId="0000007F">
      <w:pPr>
        <w:spacing w:line="360" w:lineRule="auto"/>
        <w:jc w:val="both"/>
        <w:rPr/>
      </w:pPr>
      <w:r w:rsidDel="00000000" w:rsidR="00000000" w:rsidRPr="00000000">
        <w:rPr>
          <w:rtl w:val="0"/>
        </w:rPr>
        <w:t xml:space="preserve">2. - La decoración interna de los locales de Bembos responde a un patrón de diseño y disposición de elementos tales como lámparas, mesas, pisos y colores que individualmente no permiten la atribución de origen empresarial, pero que en conjunto y aunados a la disposición de los colores rojo, azul y amarillo, en diferentes formas geométricas, en la parte externa de los establecimientos de Bembos, ha permitido reforzar la atribución de un determinado origen empresarial, conforme se ha referido en el numeral precedente.</w:t>
      </w:r>
    </w:p>
    <w:p w:rsidR="00000000" w:rsidDel="00000000" w:rsidP="00000000" w:rsidRDefault="00000000" w:rsidRPr="00000000" w14:paraId="00000080">
      <w:pPr>
        <w:spacing w:line="360" w:lineRule="auto"/>
        <w:jc w:val="both"/>
        <w:rPr/>
      </w:pPr>
      <w:r w:rsidDel="00000000" w:rsidR="00000000" w:rsidRPr="00000000">
        <w:rPr>
          <w:rtl w:val="0"/>
        </w:rPr>
        <w:t xml:space="preserve">3. - La disposición de los colores rojo, azul y amarillo, aplicados en diferentes formas geométricas en la parte externa del establecimiento de Renzos, aunada a su decoración interna que sigue un patrón de diseño y disposición de elementos tales como lámparas, mesas, pisos y colores, conforme se encontraban al momento de la denuncia, configuran una apariencia del establecimiento de la denunciada que es similar a la apariencia general que corresponde a los establecimientos de Bembos y que es capaz de comunicar a los consumidores cierto origen empresarial vinculado a éste, de algún modo.</w:t>
      </w:r>
    </w:p>
    <w:p w:rsidR="00000000" w:rsidDel="00000000" w:rsidP="00000000" w:rsidRDefault="00000000" w:rsidRPr="00000000" w14:paraId="00000081">
      <w:pPr>
        <w:spacing w:line="360" w:lineRule="auto"/>
        <w:jc w:val="both"/>
        <w:rPr/>
      </w:pPr>
      <w:r w:rsidDel="00000000" w:rsidR="00000000" w:rsidRPr="00000000">
        <w:rPr>
          <w:rtl w:val="0"/>
        </w:rPr>
        <w:t xml:space="preserve">4- Bembos, como empresa concurrente en el mercado, utiliza desde hace más de quince (15) años, una determinada apariencia para sus locales. Esta apariencia es producto de su esfuerzo e inversión, cuyo uso reiterado y consistente en el mercado le ha permitido comunicar a los consumidores su origen empresarial, logrando, entre otras, por esta vía, diferenciarse de sus competidores en el mercado.</w:t>
      </w:r>
    </w:p>
    <w:p w:rsidR="00000000" w:rsidDel="00000000" w:rsidP="00000000" w:rsidRDefault="00000000" w:rsidRPr="00000000" w14:paraId="00000082">
      <w:pPr>
        <w:spacing w:line="360" w:lineRule="auto"/>
        <w:jc w:val="both"/>
        <w:rPr/>
      </w:pPr>
      <w:r w:rsidDel="00000000" w:rsidR="00000000" w:rsidRPr="00000000">
        <w:rPr>
          <w:rtl w:val="0"/>
        </w:rPr>
        <w:t xml:space="preserve">5. - La apariencia general del establecimiento de Renzos, conforme fue denunciada, no responde a las necesidades propias del servicio de restaurante, no es un estándar en el referido mercado y pudo, cuando menos, ser evitada por Renzos, a bajo costo, para cumplir con su “deber de diferenciación” respecto de Bembos.</w:t>
      </w:r>
    </w:p>
    <w:p w:rsidR="00000000" w:rsidDel="00000000" w:rsidP="00000000" w:rsidRDefault="00000000" w:rsidRPr="00000000" w14:paraId="00000083">
      <w:pPr>
        <w:spacing w:line="360" w:lineRule="auto"/>
        <w:jc w:val="both"/>
        <w:rPr/>
      </w:pPr>
      <w:r w:rsidDel="00000000" w:rsidR="00000000" w:rsidRPr="00000000">
        <w:rPr>
          <w:rtl w:val="0"/>
        </w:rPr>
        <w:t xml:space="preserve">6. - La apariencia general del establecimiento de Renzos, conforme fue denunciada, respecto la apariencia general de los establecimientos de Bembos, puede generar una confusión indirecta frente a los consumidores puesto que, si bien estos no confundirían el establecimiento de Renzos con un establecimiento tradicional de Bembos (tal como ocurre en la confusión directa), los consumidores podrían pensar que Bembos ha decidido concurrir también en el mercado con otro tipo de establecimientos dirigidos a otro segmento y expendiendo diferentes alimentos respecto de los que expende en sus establecimientos tradicionales.</w:t>
      </w:r>
    </w:p>
    <w:p w:rsidR="00000000" w:rsidDel="00000000" w:rsidP="00000000" w:rsidRDefault="00000000" w:rsidRPr="00000000" w14:paraId="00000084">
      <w:pPr>
        <w:spacing w:line="360" w:lineRule="auto"/>
        <w:jc w:val="both"/>
        <w:rPr/>
      </w:pPr>
      <w:r w:rsidDel="00000000" w:rsidR="00000000" w:rsidRPr="00000000">
        <w:rPr>
          <w:rtl w:val="0"/>
        </w:rPr>
        <w:t xml:space="preserve">7. - La apariencia general del establecimiento de Renzos, conforme fue denunciada, respecto de la apariencia general de los establecimientos de Bembos, también puede generar, de modo alternativo o concurrente al anterior, una confusión en la modalidad de riesgo de asociación, pues el consumidor podría pensar que entre Renzos y Bembos existe alguna vinculación económica, organizativa o de otra naturaleza que involucre procesos productivos o determinado nivel de calidad en el servicio de restaurante ofrecido por ambas.</w:t>
      </w:r>
    </w:p>
    <w:p w:rsidR="00000000" w:rsidDel="00000000" w:rsidP="00000000" w:rsidRDefault="00000000" w:rsidRPr="00000000" w14:paraId="00000085">
      <w:pPr>
        <w:spacing w:line="360" w:lineRule="auto"/>
        <w:jc w:val="both"/>
        <w:rPr/>
      </w:pPr>
      <w:r w:rsidDel="00000000" w:rsidR="00000000" w:rsidRPr="00000000">
        <w:rPr>
          <w:rtl w:val="0"/>
        </w:rPr>
        <w:t xml:space="preserve">8. - Finalmente, la denominación del establecimiento de la denunciada como “Renzos Burger Grill”, colocada en la parte exterior de su establecimiento, frente a la denominación de los establecimientos de la denunciante como “Bembos Burger Grill” contribuyen a intensificar la confusión indirecta y la confusión en la modalidad de riesgo de asociación, conforme se han descrito en los puntos precedentes, dado que son denominaciones similares que comparten dos palabras idénticas (las dos palabras finales) y una palabra cuyas vocales en cada sílaba son las mismas (la primera palabra).</w:t>
      </w:r>
    </w:p>
    <w:p w:rsidR="00000000" w:rsidDel="00000000" w:rsidP="00000000" w:rsidRDefault="00000000" w:rsidRPr="00000000" w14:paraId="00000086">
      <w:pPr>
        <w:spacing w:line="360" w:lineRule="auto"/>
        <w:jc w:val="both"/>
        <w:rPr/>
      </w:pPr>
      <w:r w:rsidDel="00000000" w:rsidR="00000000" w:rsidRPr="00000000">
        <w:rPr>
          <w:rtl w:val="0"/>
        </w:rPr>
        <w:t xml:space="preserve">Por lo tanto, con base en lo señalado en los párrafos precedentes la Comisión concluye que Renzos ha cometido actos de competencia desleal en la modalidad ejemplificada como actos de confusión por la Ley sobre Represión de la Competencia Desleal, debiendo declararse fundada la presente denuncia en este extremo.</w:t>
      </w:r>
    </w:p>
    <w:p w:rsidR="00000000" w:rsidDel="00000000" w:rsidP="00000000" w:rsidRDefault="00000000" w:rsidRPr="00000000" w14:paraId="00000087">
      <w:pPr>
        <w:spacing w:line="360" w:lineRule="auto"/>
        <w:jc w:val="both"/>
        <w:rPr/>
      </w:pPr>
      <w:r w:rsidDel="00000000" w:rsidR="00000000" w:rsidRPr="00000000">
        <w:rPr>
          <w:rtl w:val="0"/>
        </w:rPr>
        <w:t xml:space="preserve">3.4. Sobre los actos de explotación de la reputación ajena</w:t>
      </w:r>
    </w:p>
    <w:p w:rsidR="00000000" w:rsidDel="00000000" w:rsidP="00000000" w:rsidRDefault="00000000" w:rsidRPr="00000000" w14:paraId="00000088">
      <w:pPr>
        <w:spacing w:line="360" w:lineRule="auto"/>
        <w:jc w:val="both"/>
        <w:rPr/>
      </w:pPr>
      <w:r w:rsidDel="00000000" w:rsidR="00000000" w:rsidRPr="00000000">
        <w:rPr>
          <w:rtl w:val="0"/>
        </w:rPr>
        <w:t xml:space="preserve">3.4.1 Normativa y criterios aplicables</w:t>
      </w:r>
    </w:p>
    <w:p w:rsidR="00000000" w:rsidDel="00000000" w:rsidP="00000000" w:rsidRDefault="00000000" w:rsidRPr="00000000" w14:paraId="00000089">
      <w:pPr>
        <w:spacing w:line="360" w:lineRule="auto"/>
        <w:jc w:val="both"/>
        <w:rPr/>
      </w:pPr>
      <w:r w:rsidDel="00000000" w:rsidR="00000000" w:rsidRPr="00000000">
        <w:rPr>
          <w:rtl w:val="0"/>
        </w:rPr>
        <w:t xml:space="preserve">La Ley sobre Represión de la Competencia Desleal ejemplifica como acto de competencia desleal:</w:t>
      </w:r>
    </w:p>
    <w:p w:rsidR="00000000" w:rsidDel="00000000" w:rsidP="00000000" w:rsidRDefault="00000000" w:rsidRPr="00000000" w14:paraId="0000008A">
      <w:pPr>
        <w:spacing w:line="360" w:lineRule="auto"/>
        <w:jc w:val="both"/>
        <w:rPr/>
      </w:pPr>
      <w:r w:rsidDel="00000000" w:rsidR="00000000" w:rsidRPr="00000000">
        <w:rPr>
          <w:rtl w:val="0"/>
        </w:rPr>
        <w:t xml:space="preserve">“Artículo 14°.- Explotación de la reputación ajena: Se considera desleal el aprovechamiento indebido, en beneficio propio o ajeno, de las ventajas de la reputación industrial, comercial o profesional adquirida por otro en el mercado.</w:t>
      </w:r>
    </w:p>
    <w:p w:rsidR="00000000" w:rsidDel="00000000" w:rsidP="00000000" w:rsidRDefault="00000000" w:rsidRPr="00000000" w14:paraId="0000008B">
      <w:pPr>
        <w:spacing w:line="360" w:lineRule="auto"/>
        <w:jc w:val="both"/>
        <w:rPr/>
      </w:pPr>
      <w:r w:rsidDel="00000000" w:rsidR="00000000" w:rsidRPr="00000000">
        <w:rPr>
          <w:rtl w:val="0"/>
        </w:rPr>
        <w:t xml:space="preserve">En particular, se reputa desleal el empleo o imitación de signos distintivos ajenos, así como el empleo de etiquetas, envases, recipientes u otros medios de identificación que en el mercado se asocien a un tercero.”</w:t>
      </w:r>
    </w:p>
    <w:p w:rsidR="00000000" w:rsidDel="00000000" w:rsidP="00000000" w:rsidRDefault="00000000" w:rsidRPr="00000000" w14:paraId="0000008C">
      <w:pPr>
        <w:spacing w:line="360" w:lineRule="auto"/>
        <w:jc w:val="both"/>
        <w:rPr/>
      </w:pPr>
      <w:r w:rsidDel="00000000" w:rsidR="00000000" w:rsidRPr="00000000">
        <w:rPr>
          <w:rtl w:val="0"/>
        </w:rPr>
        <w:t xml:space="preserve">Al respecto, cabe señalar que en los casos de explotación o aprovechamiento de la reputación ajena el infractor busca, mediante la realización de diversos actos, establecer una vinculación entre él y otro u otros competidores, induciendo a confusión a los consumidores o a otros agentes dentro de la cadena de comercialización respecto del producto o de su origen empresarial, con la finalidad de aprovecharse del prestigio o la reputación que han obtenido otros en el mercado.</w:t>
      </w:r>
    </w:p>
    <w:p w:rsidR="00000000" w:rsidDel="00000000" w:rsidP="00000000" w:rsidRDefault="00000000" w:rsidRPr="00000000" w14:paraId="0000008D">
      <w:pPr>
        <w:spacing w:line="360" w:lineRule="auto"/>
        <w:jc w:val="both"/>
        <w:rPr/>
      </w:pPr>
      <w:r w:rsidDel="00000000" w:rsidR="00000000" w:rsidRPr="00000000">
        <w:rPr>
          <w:rtl w:val="0"/>
        </w:rPr>
        <w:t xml:space="preserve">La doctrina considera que “la explotación de la reputación ajena (...) podría servir de rótulo genérico para todos los supuestos de confusión e imitación, pues en todos ellos se da ese aprovechamiento indebido de la reputación y esfuerzo ajenos”.</w:t>
      </w:r>
    </w:p>
    <w:p w:rsidR="00000000" w:rsidDel="00000000" w:rsidP="00000000" w:rsidRDefault="00000000" w:rsidRPr="00000000" w14:paraId="0000008E">
      <w:pPr>
        <w:spacing w:line="360" w:lineRule="auto"/>
        <w:jc w:val="both"/>
        <w:rPr/>
      </w:pPr>
      <w:r w:rsidDel="00000000" w:rsidR="00000000" w:rsidRPr="00000000">
        <w:rPr>
          <w:rtl w:val="0"/>
        </w:rPr>
        <w:t xml:space="preserve">3.4.2 Aplicación al caso concreto</w:t>
      </w:r>
    </w:p>
    <w:p w:rsidR="00000000" w:rsidDel="00000000" w:rsidP="00000000" w:rsidRDefault="00000000" w:rsidRPr="00000000" w14:paraId="0000008F">
      <w:pPr>
        <w:spacing w:line="360" w:lineRule="auto"/>
        <w:jc w:val="both"/>
        <w:rPr/>
      </w:pPr>
      <w:r w:rsidDel="00000000" w:rsidR="00000000" w:rsidRPr="00000000">
        <w:rPr>
          <w:rtl w:val="0"/>
        </w:rPr>
        <w:t xml:space="preserve">En este punto cabe considerar que habiéndose determinado en el numeral precedente que la denunciada ha generado un riesgo de confusión al comercializar sus servicios de restaurante en un establecimiento que presentaba una apariencia interna y externa similar a la que caracteriza a los establecimientos de Bembos, resulta razonable concluir que Renzos desarrolló sus actividades recibiendo, de modo indebido y en beneficio propio, las ventajas derivadas de que los consumidores pudieran identificarla como un establecimiento conducido por Bembos o conducido por otra empresa vinculada de algún modo a Bembos.</w:t>
      </w:r>
    </w:p>
    <w:p w:rsidR="00000000" w:rsidDel="00000000" w:rsidP="00000000" w:rsidRDefault="00000000" w:rsidRPr="00000000" w14:paraId="00000090">
      <w:pPr>
        <w:spacing w:line="360" w:lineRule="auto"/>
        <w:jc w:val="both"/>
        <w:rPr/>
      </w:pPr>
      <w:r w:rsidDel="00000000" w:rsidR="00000000" w:rsidRPr="00000000">
        <w:rPr>
          <w:rtl w:val="0"/>
        </w:rPr>
        <w:t xml:space="preserve">Cabe considerar que los más de quince (15) años que han transcurrido desde que Bembos inició su concurrencia en el mercado, le han permitido lograr un caudal de crédito y reputación que sitúa a sus servicios de restaurante como uno de los líderes en el mercado. En este sentido, la confusión indirecta o la confusión en la modalidad de asociación que se han podido producir frente al consumidor, han generado, a juicio de la Comisión, un aprovechamiento indebido por parte de Renzos del caudal de crédito y reputación que corresponde a Bembos.</w:t>
      </w:r>
    </w:p>
    <w:p w:rsidR="00000000" w:rsidDel="00000000" w:rsidP="00000000" w:rsidRDefault="00000000" w:rsidRPr="00000000" w14:paraId="00000091">
      <w:pPr>
        <w:spacing w:line="360" w:lineRule="auto"/>
        <w:jc w:val="both"/>
        <w:rPr/>
      </w:pPr>
      <w:r w:rsidDel="00000000" w:rsidR="00000000" w:rsidRPr="00000000">
        <w:rPr>
          <w:rtl w:val="0"/>
        </w:rPr>
        <w:t xml:space="preserve">Por lo tanto, la Comisión concluye que Renzos ha cometido actos de competencia desleal en la modalidad ejemplificada como explotación de la reputación ajena por la Ley sobre Represión de la Competencia Desleal, debiéndose declarar fundada la presente denuncia en este extremo.</w:t>
      </w:r>
    </w:p>
    <w:p w:rsidR="00000000" w:rsidDel="00000000" w:rsidP="00000000" w:rsidRDefault="00000000" w:rsidRPr="00000000" w14:paraId="00000092">
      <w:pPr>
        <w:spacing w:line="360" w:lineRule="auto"/>
        <w:jc w:val="both"/>
        <w:rPr/>
      </w:pPr>
      <w:r w:rsidDel="00000000" w:rsidR="00000000" w:rsidRPr="00000000">
        <w:rPr>
          <w:rtl w:val="0"/>
        </w:rPr>
        <w:t xml:space="preserve">3.5. La pertinencia de ordenar medidas complementarias</w:t>
      </w:r>
    </w:p>
    <w:p w:rsidR="00000000" w:rsidDel="00000000" w:rsidP="00000000" w:rsidRDefault="00000000" w:rsidRPr="00000000" w14:paraId="00000093">
      <w:pPr>
        <w:spacing w:line="360" w:lineRule="auto"/>
        <w:jc w:val="both"/>
        <w:rPr/>
      </w:pPr>
      <w:r w:rsidDel="00000000" w:rsidR="00000000" w:rsidRPr="00000000">
        <w:rPr>
          <w:rtl w:val="0"/>
        </w:rPr>
        <w:t xml:space="preserve">De conformidad con lo establecido por el artículo 24 de la Ley sobre Represión de la Competencia Desleal, el incumplimiento de las normas establecidas por dicha Ley dará lugar a la aplicación de una sanción de amonestación o de una multa, sin perjuicio de las medidas que se dicten para la cesación de los actos de competencia desleal o para evitar que éstos se produzcan.</w:t>
      </w:r>
    </w:p>
    <w:p w:rsidR="00000000" w:rsidDel="00000000" w:rsidP="00000000" w:rsidRDefault="00000000" w:rsidRPr="00000000" w14:paraId="00000094">
      <w:pPr>
        <w:spacing w:line="360" w:lineRule="auto"/>
        <w:jc w:val="both"/>
        <w:rPr/>
      </w:pPr>
      <w:r w:rsidDel="00000000" w:rsidR="00000000" w:rsidRPr="00000000">
        <w:rPr>
          <w:rtl w:val="0"/>
        </w:rPr>
        <w:t xml:space="preserve">Al respecto, debemos recordar que la Sala de Defensa de la Competencia ha establecido en la Resolución N° 427-2001/TDC-INDECOPI24 que “es importante destacar que las medidas complementarias tienen por finalidad corregir las distorsiones que se hubieran producido en el mercado como consecuencia de la actuación infractora y que su aplicación se sustenta en las normas que regulan la competencia de la Comisión para conocer de dichas conductas, imponer sanciones, y disponer los correctivos que correspondan para revertir el daño ocasionado al mercado”.</w:t>
      </w:r>
    </w:p>
    <w:p w:rsidR="00000000" w:rsidDel="00000000" w:rsidP="00000000" w:rsidRDefault="00000000" w:rsidRPr="00000000" w14:paraId="00000095">
      <w:pPr>
        <w:spacing w:line="360" w:lineRule="auto"/>
        <w:jc w:val="both"/>
        <w:rPr/>
      </w:pPr>
      <w:r w:rsidDel="00000000" w:rsidR="00000000" w:rsidRPr="00000000">
        <w:rPr>
          <w:rtl w:val="0"/>
        </w:rPr>
        <w:t xml:space="preserve">En el presente caso, ha quedado acreditado que la conducta de Renzos es capaz de generar en los consumidores un riesgo de confusión indirecto al expender sus productos en un establecimiento con apariencia similar a la apariencia general de los establecimientos de Bembos, asimismo ha quedado acreditado que Renzos ha aprovechado de modo indebido el caudal de reputación que corresponde a Bembos en mérito a más de quince (15) años de actividad en el mercado de servicios de restaurante. En consecuencia, la Comisión considera que debe ordenarse la imposición de medidas complementarias que corrijan la distorsión que la conducta de la denunciada pueda generar en el mercado.</w:t>
      </w:r>
    </w:p>
    <w:p w:rsidR="00000000" w:rsidDel="00000000" w:rsidP="00000000" w:rsidRDefault="00000000" w:rsidRPr="00000000" w14:paraId="00000096">
      <w:pPr>
        <w:spacing w:line="360" w:lineRule="auto"/>
        <w:jc w:val="both"/>
        <w:rPr/>
      </w:pPr>
      <w:r w:rsidDel="00000000" w:rsidR="00000000" w:rsidRPr="00000000">
        <w:rPr>
          <w:rtl w:val="0"/>
        </w:rPr>
        <w:t xml:space="preserve">3.6. Graduación de la sanción</w:t>
      </w:r>
    </w:p>
    <w:p w:rsidR="00000000" w:rsidDel="00000000" w:rsidP="00000000" w:rsidRDefault="00000000" w:rsidRPr="00000000" w14:paraId="00000097">
      <w:pPr>
        <w:spacing w:line="360" w:lineRule="auto"/>
        <w:jc w:val="both"/>
        <w:rPr/>
      </w:pPr>
      <w:r w:rsidDel="00000000" w:rsidR="00000000" w:rsidRPr="00000000">
        <w:rPr>
          <w:rtl w:val="0"/>
        </w:rPr>
        <w:t xml:space="preserve">De conformidad con lo establecido en el artículo 24 de la Ley sobre Represión de la Competencia Desleal, al momento de graduar la sanción aplicable a la denunciada la Comisión debe tener en cuenta la gravedad de la falta, la difusión del anuncio, los efectos que se pudiese ocasionar en el mercado y otros criterios que, dependiendo de cada caso particular, considere adecuado adoptar.</w:t>
      </w:r>
    </w:p>
    <w:p w:rsidR="00000000" w:rsidDel="00000000" w:rsidP="00000000" w:rsidRDefault="00000000" w:rsidRPr="00000000" w14:paraId="00000098">
      <w:pPr>
        <w:spacing w:line="360" w:lineRule="auto"/>
        <w:jc w:val="both"/>
        <w:rPr/>
      </w:pPr>
      <w:r w:rsidDel="00000000" w:rsidR="00000000" w:rsidRPr="00000000">
        <w:rPr>
          <w:rtl w:val="0"/>
        </w:rPr>
        <w:t xml:space="preserve">En el presente caso, la Comisión ha tomado en cuenta al momento de graduar la sanción, que las ventas realizadas por la denunciada hasta la fecha en que fue notificada con la Resolución N° 1 ascendieron a setenta y dos mil ochocientos quince Nuevos Soles (S/. 72,815).25 Asimismo, en el presente caso se ha considerado el gasto que Renzos asumió para dar cumplimiento a la medida cautelar ordenada en la referida resolución que, según lo señalado en su escrito de fecha 12 de noviembre de 2004, fue mayor a los tres mil Nuevos Soles (S/ 3,000).</w:t>
      </w:r>
    </w:p>
    <w:p w:rsidR="00000000" w:rsidDel="00000000" w:rsidP="00000000" w:rsidRDefault="00000000" w:rsidRPr="00000000" w14:paraId="00000099">
      <w:pPr>
        <w:spacing w:line="360" w:lineRule="auto"/>
        <w:jc w:val="both"/>
        <w:rPr/>
      </w:pPr>
      <w:r w:rsidDel="00000000" w:rsidR="00000000" w:rsidRPr="00000000">
        <w:rPr>
          <w:rtl w:val="0"/>
        </w:rPr>
        <w:t xml:space="preserve">Sin embargo, la Comisión considera que el presente caso es especialmente grave por cuanto los actos declarados como competencia desleal han sido capaces de afectar la inversión de la denunciante en la apariencia de sus locales, durante años, para identificar su origen empresarial ante los consumidores y distinguirse de sus competidores. También son graves por cuanto dichos actos han sido capaces de inducir a error a los consumidores respecto de la procedencia empresarial del establecimiento de Renzos y, en consecuencia, han podido generar decisiones de consumo en favor de la denunciada, sobre la base de una falsa representación de la realidad.</w:t>
      </w:r>
    </w:p>
    <w:p w:rsidR="00000000" w:rsidDel="00000000" w:rsidP="00000000" w:rsidRDefault="00000000" w:rsidRPr="00000000" w14:paraId="0000009A">
      <w:pPr>
        <w:spacing w:line="360" w:lineRule="auto"/>
        <w:jc w:val="both"/>
        <w:rPr/>
      </w:pPr>
      <w:r w:rsidDel="00000000" w:rsidR="00000000" w:rsidRPr="00000000">
        <w:rPr>
          <w:rtl w:val="0"/>
        </w:rPr>
        <w:t xml:space="preserve">Finalmente, la Comisión considera que los actos de confusión y de explotación de la reputación ajena constituyen actos ilegales que, en algunos casos, son la manifestación de una informalidad parasitaria que debe ser combatida a efectos de evitar que un concurrente en el mercado logre ventajas competitivas frente a otro por medios distintos a la eficiencia económica, que pueden consistir en el aprovechamiento de los beneficios de la inversión ajena, eludiendo el “deber de diferenciación” que corresponde a todo agente en el mercado. Al respecto, la Comisión ha considerado la función desincentivadora que la multa debe de generar en el mercado, función recogida en el principio de razonabilidad de la potestad sancionadora de las entidades del Estado contemplado en el inciso 3 del artículo 230 de la Ley del Procedimiento Administrativo General, y que supone que la sanción aplicable debe resultar mayor que el beneficio obtenido por el infractor, con el fin de evitar que en el futuro la denunciada considere más ventajoso cometer la infracción y asumir la sanción antes que respetar las normas infringidas.</w:t>
      </w:r>
    </w:p>
    <w:p w:rsidR="00000000" w:rsidDel="00000000" w:rsidP="00000000" w:rsidRDefault="00000000" w:rsidRPr="00000000" w14:paraId="0000009B">
      <w:pPr>
        <w:spacing w:line="360" w:lineRule="auto"/>
        <w:jc w:val="both"/>
        <w:rPr/>
      </w:pPr>
      <w:r w:rsidDel="00000000" w:rsidR="00000000" w:rsidRPr="00000000">
        <w:rPr>
          <w:rtl w:val="0"/>
        </w:rPr>
        <w:t xml:space="preserve">3.7. Sobre el presunto incumplimiento de la medida cautelar por parte de Renzos </w:t>
      </w:r>
    </w:p>
    <w:p w:rsidR="00000000" w:rsidDel="00000000" w:rsidP="00000000" w:rsidRDefault="00000000" w:rsidRPr="00000000" w14:paraId="0000009C">
      <w:pPr>
        <w:spacing w:line="360" w:lineRule="auto"/>
        <w:jc w:val="both"/>
        <w:rPr/>
      </w:pPr>
      <w:r w:rsidDel="00000000" w:rsidR="00000000" w:rsidRPr="00000000">
        <w:rPr>
          <w:rtl w:val="0"/>
        </w:rPr>
        <w:t xml:space="preserve">3.7.1. Normativa y criterios aplicables</w:t>
      </w:r>
    </w:p>
    <w:p w:rsidR="00000000" w:rsidDel="00000000" w:rsidP="00000000" w:rsidRDefault="00000000" w:rsidRPr="00000000" w14:paraId="0000009D">
      <w:pPr>
        <w:spacing w:line="360" w:lineRule="auto"/>
        <w:jc w:val="both"/>
        <w:rPr/>
      </w:pPr>
      <w:r w:rsidDel="00000000" w:rsidR="00000000" w:rsidRPr="00000000">
        <w:rPr>
          <w:rtl w:val="0"/>
        </w:rPr>
        <w:t xml:space="preserve">El artículo 28 de la Ley sobre Facultades, Normas y Organización del Indecopi dispone lo siguiente:</w:t>
      </w:r>
    </w:p>
    <w:p w:rsidR="00000000" w:rsidDel="00000000" w:rsidP="00000000" w:rsidRDefault="00000000" w:rsidRPr="00000000" w14:paraId="0000009E">
      <w:pPr>
        <w:spacing w:line="360" w:lineRule="auto"/>
        <w:jc w:val="both"/>
        <w:rPr/>
      </w:pPr>
      <w:r w:rsidDel="00000000" w:rsidR="00000000" w:rsidRPr="00000000">
        <w:rPr>
          <w:rtl w:val="0"/>
        </w:rPr>
        <w:t xml:space="preserve">“Si el obligado a cumplir con una medida cautelar o con una medida correctiva ordenada por la Comisión no lo hiciera, se le impondrá automáticamente una sanción de hasta el máximo de la multa permitida, para cuya graduación se tomará en cuenta los criterios que emplea la Comisión al emitir resoluciones finales. Dicha multa deberá ser pagada dentro del plazo de cinco (5) días de notificada, vencidos los cuales se ordenará su cobranza coactiva. Si el obligado persiste en el incumplimiento, la Comisión podrá imponer una nueva multa duplicando sucesiva e ilimitadamente el monto de la última multa impuesta hasta que se cumpla con la medida cautelar o la medida correctiva y sin perjuicio de poder denunciar al responsable ante el Ministerio Público para que éste inicie el proceso penal que corresponda. Las multas impuestas no impiden a la Comisión imponer una multa o sanción distinta al final del procedimiento, de ser el caso.”</w:t>
      </w:r>
    </w:p>
    <w:p w:rsidR="00000000" w:rsidDel="00000000" w:rsidP="00000000" w:rsidRDefault="00000000" w:rsidRPr="00000000" w14:paraId="0000009F">
      <w:pPr>
        <w:spacing w:line="360" w:lineRule="auto"/>
        <w:jc w:val="both"/>
        <w:rPr/>
      </w:pPr>
      <w:r w:rsidDel="00000000" w:rsidR="00000000" w:rsidRPr="00000000">
        <w:rPr>
          <w:rtl w:val="0"/>
        </w:rPr>
        <w:t xml:space="preserve">Tratándose de sanciones por incumplimiento de resoluciones, el pronunciamiento de la Sala de Defensa de la Competencia del Tribunal del Indecopi contenido en la Resolución N° 125- 1997/TDC27 estableció que:</w:t>
      </w:r>
    </w:p>
    <w:p w:rsidR="00000000" w:rsidDel="00000000" w:rsidP="00000000" w:rsidRDefault="00000000" w:rsidRPr="00000000" w14:paraId="000000A0">
      <w:pPr>
        <w:spacing w:line="360" w:lineRule="auto"/>
        <w:jc w:val="both"/>
        <w:rPr/>
      </w:pPr>
      <w:r w:rsidDel="00000000" w:rsidR="00000000" w:rsidRPr="00000000">
        <w:rPr>
          <w:rtl w:val="0"/>
        </w:rPr>
        <w:t xml:space="preserve">“[Ljos órganos funcionales de ésta entidad gozan de la facultad de imponer sanciones básicamente en tres situaciones concretas: (...) c) Sanciones por incumplimientos de acuerdos, laudos o resoluciones; aquellas que se imponen cuando existiendo una obligación, generada de un acuerdo o decisión anterior de una autoridad o persona facultada (resolución o laudo), se incumple la misma. (...) En tal supuesto podrán presentarse dos situaciones distintas. La primera es que se haya constatado el incumplimiento y se considere que la parte involucrada puede ser sancionada. En tal caso lo que corresponde es notificar a la parte y a los demás interesados con la imputación del incumplimiento a fin de que puedan expresar aquellos argumentos y aportar aquellas pruebas que estimen pertinentes. Ello porque (sic) podría ocurrir que existan razones atendibles que justifiquen el incumplimiento (por ejemplo un nuevo acuerdo con la otra parte desconocido por la autoridad, un caso fortuito o una situación de fuerza mayor, o que el incumplimiento sea solo (sic) aparente y no real)”.</w:t>
      </w:r>
    </w:p>
    <w:p w:rsidR="00000000" w:rsidDel="00000000" w:rsidP="00000000" w:rsidRDefault="00000000" w:rsidRPr="00000000" w14:paraId="000000A1">
      <w:pPr>
        <w:spacing w:line="360" w:lineRule="auto"/>
        <w:jc w:val="both"/>
        <w:rPr/>
      </w:pPr>
      <w:r w:rsidDel="00000000" w:rsidR="00000000" w:rsidRPr="00000000">
        <w:rPr>
          <w:rtl w:val="0"/>
        </w:rPr>
        <w:t xml:space="preserve">3.7.2. Aplicación al caso concreto</w:t>
      </w:r>
    </w:p>
    <w:p w:rsidR="00000000" w:rsidDel="00000000" w:rsidP="00000000" w:rsidRDefault="00000000" w:rsidRPr="00000000" w14:paraId="000000A2">
      <w:pPr>
        <w:spacing w:line="360" w:lineRule="auto"/>
        <w:jc w:val="both"/>
        <w:rPr/>
      </w:pPr>
      <w:r w:rsidDel="00000000" w:rsidR="00000000" w:rsidRPr="00000000">
        <w:rPr>
          <w:rtl w:val="0"/>
        </w:rPr>
        <w:t xml:space="preserve">Sobre el particular, debe tenerse en cuenta que la Resolución N° 3 impuso a Renzos, como medida cautelar, el cierre temporal de su local comercial ubicado en la Avenida Belisario Suárez N° 499, Urbanización San Juan, Distrito de San Juan de Miraflores, Provincia y Departamento de Lima, en tanto que presentara en su aspecto interno como externo, elementos que puedan generar confusión en los consumidores sobre su origen empresarial, con respecto a los locales de Bembos.</w:t>
      </w:r>
    </w:p>
    <w:p w:rsidR="00000000" w:rsidDel="00000000" w:rsidP="00000000" w:rsidRDefault="00000000" w:rsidRPr="00000000" w14:paraId="000000A3">
      <w:pPr>
        <w:spacing w:line="360" w:lineRule="auto"/>
        <w:jc w:val="both"/>
        <w:rPr/>
      </w:pPr>
      <w:r w:rsidDel="00000000" w:rsidR="00000000" w:rsidRPr="00000000">
        <w:rPr>
          <w:rtl w:val="0"/>
        </w:rPr>
        <w:t xml:space="preserve">Conforme a lo dispuesto en el artículo 28 del Decreto Legislativo N° 807, la denunciada se encontró obligada, desde el 21 de octubre de 2004, a cumplir las medidas cautelares ordenadas por la Comisión en la Resolución N° 3, al haber sido notificado de la referida resolución en dicha fecha.</w:t>
      </w:r>
    </w:p>
    <w:p w:rsidR="00000000" w:rsidDel="00000000" w:rsidP="00000000" w:rsidRDefault="00000000" w:rsidRPr="00000000" w14:paraId="000000A4">
      <w:pPr>
        <w:spacing w:line="360" w:lineRule="auto"/>
        <w:jc w:val="both"/>
        <w:rPr/>
      </w:pPr>
      <w:r w:rsidDel="00000000" w:rsidR="00000000" w:rsidRPr="00000000">
        <w:rPr>
          <w:rtl w:val="0"/>
        </w:rPr>
        <w:t xml:space="preserve">Al respecto, la denunciada comunicó a esta Comisión, mediante escritos de fechas 28 de octubre y 12 de noviembre de 2004, que ante la imposibilidad de cerrar temporalmente su local comercial, había procedido a variar los colores de su local comercial por lo que, a su criterio, había dado cumplimiento a lo ordenado por la Resolución N° 3.</w:t>
      </w:r>
    </w:p>
    <w:p w:rsidR="00000000" w:rsidDel="00000000" w:rsidP="00000000" w:rsidRDefault="00000000" w:rsidRPr="00000000" w14:paraId="000000A5">
      <w:pPr>
        <w:spacing w:line="360" w:lineRule="auto"/>
        <w:jc w:val="both"/>
        <w:rPr/>
      </w:pPr>
      <w:r w:rsidDel="00000000" w:rsidR="00000000" w:rsidRPr="00000000">
        <w:rPr>
          <w:rtl w:val="0"/>
        </w:rPr>
        <w:t xml:space="preserve">Sin embargo, con fecha 1 de diciembre de 2004, la denunciante refirió que las modificaciones realizadas por Renzos en su establecimiento eran parciales y que se habrían limitado a reemplazar los colores amarillo y azul por los colores naranja y verde que pertenecerían a la misma gama de colores. Asimismo, Bembos agregó que la denunciada habría mantenido el color rojo en los elementos que conforman su estructura.</w:t>
      </w:r>
    </w:p>
    <w:p w:rsidR="00000000" w:rsidDel="00000000" w:rsidP="00000000" w:rsidRDefault="00000000" w:rsidRPr="00000000" w14:paraId="000000A6">
      <w:pPr>
        <w:spacing w:line="360" w:lineRule="auto"/>
        <w:jc w:val="both"/>
        <w:rPr/>
      </w:pPr>
      <w:r w:rsidDel="00000000" w:rsidR="00000000" w:rsidRPr="00000000">
        <w:rPr>
          <w:rtl w:val="0"/>
        </w:rPr>
        <w:t xml:space="preserve">Luego de realizar un análisis de los argumentos manifestados por la denunciada en sus escritos de fechas 28 de octubre y 12 de noviembre de 2004, así como de las fotografías anexadas a los mismos y los actuados de la inspección realizada por los funcionarios del Área de Fiscalización del Indecopi con fecha 8 de noviembre de 2004, la Comisión considera que la variación de los colores y la distribución de los diferentes elementos que conforman el aspecto interno y externo del local denunciado es idónea para eliminar el riesgo de confusión que generó Renzos en el mercado con el aspecto que presentaba su establecimiento, conforme fue denunciado.</w:t>
      </w:r>
    </w:p>
    <w:p w:rsidR="00000000" w:rsidDel="00000000" w:rsidP="00000000" w:rsidRDefault="00000000" w:rsidRPr="00000000" w14:paraId="000000A7">
      <w:pPr>
        <w:spacing w:line="360" w:lineRule="auto"/>
        <w:jc w:val="both"/>
        <w:rPr/>
      </w:pPr>
      <w:r w:rsidDel="00000000" w:rsidR="00000000" w:rsidRPr="00000000">
        <w:rPr>
          <w:rtl w:val="0"/>
        </w:rPr>
        <w:t xml:space="preserve">Lo señalado en el párrafo precedente, se fundamenta en que, conforme se consideró en puntos precedentes, la disposición de los colores rojo, azul y amarillo, aplicados en diferentes formas geométricas, en la parte externa de los establecimientos de Bembos es un poderoso elemento que atribuye un determinado origen empresarial a sus establecimientos, lo que aunado al patrón interno de diseño y disposición de elementos tales como lámparas, mesas, pisos y colores ha permitido reforzar la atribución de un determinado origen empresarial propio de Bembos. Por tal motivo, basta que un determinado establecimiento contenga colores y diseños distintos a los que conforman, en conjunto, la imagen de la denunciante, como ha ocurrido en el cumplimiento de la medida cautelar por parte de Renzos, para que los referidos elementos diluyan una posible confusión indirecta o confusión en la modalidad de asociación de su establecimiento respecto de los establecimientos de Bembos, y, en consecuencia, diluyan un aprovechamiento indebido por parte de Renzos del caudal de crédito y reputación que corresponde a Bembos.</w:t>
      </w:r>
    </w:p>
    <w:p w:rsidR="00000000" w:rsidDel="00000000" w:rsidP="00000000" w:rsidRDefault="00000000" w:rsidRPr="00000000" w14:paraId="000000A8">
      <w:pPr>
        <w:spacing w:line="360" w:lineRule="auto"/>
        <w:jc w:val="both"/>
        <w:rPr/>
      </w:pPr>
      <w:r w:rsidDel="00000000" w:rsidR="00000000" w:rsidRPr="00000000">
        <w:rPr>
          <w:rtl w:val="0"/>
        </w:rPr>
        <w:t xml:space="preserve">Por lo tanto, en la medida que la denunciada ha variado el aspecto interno y externo de su local, eliminando el riesgo de confusión al que habrían estado expuestos los consumidores con la presentación original del referido establecimiento, la Comisión considera que Renzos no ha incumplido lo dispuesto por la medida cautelar ordenada en la resolución N° 3.</w:t>
      </w:r>
    </w:p>
    <w:p w:rsidR="00000000" w:rsidDel="00000000" w:rsidP="00000000" w:rsidRDefault="00000000" w:rsidRPr="00000000" w14:paraId="000000A9">
      <w:pPr>
        <w:spacing w:line="360" w:lineRule="auto"/>
        <w:jc w:val="both"/>
        <w:rPr/>
      </w:pPr>
      <w:r w:rsidDel="00000000" w:rsidR="00000000" w:rsidRPr="00000000">
        <w:rPr>
          <w:rtl w:val="0"/>
        </w:rPr>
        <w:t xml:space="preserve">3.8. La pertinencia de establecer un precedente de observancia obligatoria</w:t>
      </w:r>
    </w:p>
    <w:p w:rsidR="00000000" w:rsidDel="00000000" w:rsidP="00000000" w:rsidRDefault="00000000" w:rsidRPr="00000000" w14:paraId="000000AA">
      <w:pPr>
        <w:spacing w:line="360" w:lineRule="auto"/>
        <w:jc w:val="both"/>
        <w:rPr/>
      </w:pPr>
      <w:r w:rsidDel="00000000" w:rsidR="00000000" w:rsidRPr="00000000">
        <w:rPr>
          <w:rtl w:val="0"/>
        </w:rPr>
        <w:t xml:space="preserve">En aplicación del artículo 43 del Decreto Legislativo N° 807 y atendiendo a que la presente resolución interpreta de modo expreso y con carácter general el sentido de algunas normas contenidas en la Ley sobre Represión de la Competencia Desleal, corresponde declarar que ésta constituye un precedente de observancia obligatoria en la aplicación del siguiente principio:</w:t>
      </w:r>
    </w:p>
    <w:p w:rsidR="00000000" w:rsidDel="00000000" w:rsidP="00000000" w:rsidRDefault="00000000" w:rsidRPr="00000000" w14:paraId="000000AB">
      <w:pPr>
        <w:spacing w:line="360" w:lineRule="auto"/>
        <w:jc w:val="both"/>
        <w:rPr/>
      </w:pPr>
      <w:r w:rsidDel="00000000" w:rsidR="00000000" w:rsidRPr="00000000">
        <w:rPr>
          <w:rtl w:val="0"/>
        </w:rPr>
        <w:t xml:space="preserve">1. - El denominado “derecho a imitar”, que consiste en que un concurrente en el mercado puede lícitamente imitar las iniciativas empresariales de otro concurrente, constituye una de las manifestaciones de la libertad de iniciativa privada en materia económica, consagrada y protegida por artículo 58 de la Constitución Política del Perú. Sin embargo, el denominado “derecho a imitar” no puede ser ejercido por las empresas de modo irrestricto, debe ser ejercido respetando los límites que el ordenamiento jurídico establece.</w:t>
      </w:r>
    </w:p>
    <w:p w:rsidR="00000000" w:rsidDel="00000000" w:rsidP="00000000" w:rsidRDefault="00000000" w:rsidRPr="00000000" w14:paraId="000000AC">
      <w:pPr>
        <w:spacing w:line="360" w:lineRule="auto"/>
        <w:jc w:val="both"/>
        <w:rPr/>
      </w:pPr>
      <w:r w:rsidDel="00000000" w:rsidR="00000000" w:rsidRPr="00000000">
        <w:rPr>
          <w:rtl w:val="0"/>
        </w:rPr>
        <w:t xml:space="preserve">2. - Un primer límite a la imitación consiste en el respeto que los concurrentes en el mercado deben tener por los derechos de propiedad intelectual de terceros, como es el caso de las marcas que otorgan protección sobre determinados signos, de patentes que otorgan protección sobre determinadas invenciones y de titularidades de derechos de autor que otorgan protección sobre determinadas obras, entre otros. Mediante los derechos de propiedad intelectual, el titular de un signo, invención u obra goza de una protección tal que la imitación de otro concurrente respecto de estos elementos es ilícita, según lo precisado por las normas en la materia.</w:t>
      </w:r>
    </w:p>
    <w:p w:rsidR="00000000" w:rsidDel="00000000" w:rsidP="00000000" w:rsidRDefault="00000000" w:rsidRPr="00000000" w14:paraId="000000AD">
      <w:pPr>
        <w:spacing w:line="360" w:lineRule="auto"/>
        <w:jc w:val="both"/>
        <w:rPr/>
      </w:pPr>
      <w:r w:rsidDel="00000000" w:rsidR="00000000" w:rsidRPr="00000000">
        <w:rPr>
          <w:rtl w:val="0"/>
        </w:rPr>
        <w:t xml:space="preserve">3. - Un segundo límite a la imitación consiste en el “deber de diferenciación” que corresponde a los concurrentes en el mercado. Este deber es exigido por las normas que reprimen la competencia desleal y significa que, si bien los concurrentes tienen “derecho a imitar”, tienen como contraparte la obligación de evitar, en observancia de la buena fe comercial, que alguna imitación sea capaz de: i) generar confusión respecto del origen empresarial de los bienes o servicios que colocan en el mercado, así como sobre los establecimientos utilizados para tal fin; ii) conllevar que el concurrente imitado no pueda diferenciarse o afirmarse en el mercado por causa de una imitación sistemática; o, iii) significar una explotación indebida de la reputación que corresponde a otro concurrente en el mercado. Estas tres conductas son consideradas contrarias a la buena fe comercial que rige las actividades comerciales y son ejemplificadas como actos de competencia desleal, respectivamente, en los artículos 8, 13 y 14 de la Ley sobre Represión de la Competencia Desleal, siendo prohibidas por el artículo 6 de la misma ley, que constituye la tipificación expresa exigida por el artículo 230.4 de la Ley del Procedimiento Administrativo General para aplicarlas sanciones correspondientes.</w:t>
      </w:r>
    </w:p>
    <w:p w:rsidR="00000000" w:rsidDel="00000000" w:rsidP="00000000" w:rsidRDefault="00000000" w:rsidRPr="00000000" w14:paraId="000000AE">
      <w:pPr>
        <w:spacing w:line="360" w:lineRule="auto"/>
        <w:jc w:val="both"/>
        <w:rPr/>
      </w:pPr>
      <w:r w:rsidDel="00000000" w:rsidR="00000000" w:rsidRPr="00000000">
        <w:rPr>
          <w:rtl w:val="0"/>
        </w:rPr>
        <w:t xml:space="preserve">4. - En particular, sobre los actos de confusión respecto del origen empresarial, cabe precisar que la confusión puede ser de tres tipos: a) directa, b) indirecta y c) de riesgo asociativo. En los tres casos bastará que exista un riesgo de confusión para considerar la conducta como un acto de competencia desleal.</w:t>
      </w:r>
    </w:p>
    <w:p w:rsidR="00000000" w:rsidDel="00000000" w:rsidP="00000000" w:rsidRDefault="00000000" w:rsidRPr="00000000" w14:paraId="000000AF">
      <w:pPr>
        <w:spacing w:line="360" w:lineRule="auto"/>
        <w:jc w:val="both"/>
        <w:rPr/>
      </w:pPr>
      <w:r w:rsidDel="00000000" w:rsidR="00000000" w:rsidRPr="00000000">
        <w:rPr>
          <w:rtl w:val="0"/>
        </w:rPr>
        <w:t xml:space="preserve">La confusión directa ocurre cuando los consumidores pueden asumir que los bienes, servicios o establecimientos de un concurrente en el mercado guardan identidad con los que corresponden a otro concurrente, viéndose inducidos a error por no ser ello cierto. Esta confusión podría ocurrir a causa de una extrema similitud en signos, presentación o apariencia general de los bienes, los servicios o los establecimientos en cuestión.</w:t>
      </w:r>
    </w:p>
    <w:p w:rsidR="00000000" w:rsidDel="00000000" w:rsidP="00000000" w:rsidRDefault="00000000" w:rsidRPr="00000000" w14:paraId="000000B0">
      <w:pPr>
        <w:spacing w:line="360" w:lineRule="auto"/>
        <w:jc w:val="both"/>
        <w:rPr/>
      </w:pPr>
      <w:r w:rsidDel="00000000" w:rsidR="00000000" w:rsidRPr="00000000">
        <w:rPr>
          <w:rtl w:val="0"/>
        </w:rPr>
        <w:t xml:space="preserve">La confusión indirecta ocurre cuando los consumidores pueden diferenciar claramente bienes, servicios o establecimientos distintos, pero pueden pensar, equivocadamente, que pertenecen al mismo concurrente en el mercado, cuando en realidad pertenecen a dos concurrentes distintos. Esta confusión podría ocurrir a causa de algunas similitudes en signos, presentación o apariencia general de los bienes, servicios o establecimientos en cuestión.</w:t>
      </w:r>
    </w:p>
    <w:p w:rsidR="00000000" w:rsidDel="00000000" w:rsidP="00000000" w:rsidRDefault="00000000" w:rsidRPr="00000000" w14:paraId="000000B1">
      <w:pPr>
        <w:spacing w:line="360" w:lineRule="auto"/>
        <w:jc w:val="both"/>
        <w:rPr/>
      </w:pPr>
      <w:r w:rsidDel="00000000" w:rsidR="00000000" w:rsidRPr="00000000">
        <w:rPr>
          <w:rtl w:val="0"/>
        </w:rPr>
        <w:t xml:space="preserve">La confusión en la modalidad de riesgo de asociación ocurre cuando los consumidores pueden diferenciar los bienes, servicios o establecimientos de un concurrente en el mercado frente a los de otro concurrente, pero pueden, como consecuencia de la similitud existente entre algunos elementos que caracterizan las ofertas de ambos, considerar que entre estos existe vinculación económica u organizativa, cuando en realidad dicha vinculación no existe. Esta confusión podría ocurrir a causa de una mínima similitud en signos, presentación o apariencia general de los bienes, servicios o establecimientos en cuestión.</w:t>
      </w:r>
    </w:p>
    <w:p w:rsidR="00000000" w:rsidDel="00000000" w:rsidP="00000000" w:rsidRDefault="00000000" w:rsidRPr="00000000" w14:paraId="000000B2">
      <w:pPr>
        <w:spacing w:line="360" w:lineRule="auto"/>
        <w:jc w:val="both"/>
        <w:rPr/>
      </w:pPr>
      <w:r w:rsidDel="00000000" w:rsidR="00000000" w:rsidRPr="00000000">
        <w:rPr>
          <w:rtl w:val="0"/>
        </w:rPr>
        <w:t xml:space="preserve">5.- Finalmente, a efectos de evaluar si se produce un acto de confusión respecto de elementos sobre los que no recae derecho de propiedad intelectual alguno, la autoridad administrativa, para determinar si un concurrente ha infringido el “deber de diferenciación” que le es exigible, debe evaluar fundamentalmente que los signos, presentación y/o apariencia general de los bienes, servicios o establecimientos que corresponden al concurrente presuntamente afectado por la imitación, cuando menos: i) sean capaces individualmente o en conjunto de generar un efecto identificador del origen empresarial y diferenciador de la oferta de este concurrente frente a los demás concurrentes en el mercado; ii) no sean una respuesta a necesidades propias de la actividad económica que este concurrente realiza; iii) no sean un estándar en el mercado; y, iv) conformen una apariencia que pueda ser evitada por los demás concurrentes sin incurrir en elevados costos de diferenciación.</w:t>
      </w:r>
    </w:p>
    <w:p w:rsidR="00000000" w:rsidDel="00000000" w:rsidP="00000000" w:rsidRDefault="00000000" w:rsidRPr="00000000" w14:paraId="000000B3">
      <w:pPr>
        <w:spacing w:line="360" w:lineRule="auto"/>
        <w:jc w:val="both"/>
        <w:rPr/>
      </w:pPr>
      <w:r w:rsidDel="00000000" w:rsidR="00000000" w:rsidRPr="00000000">
        <w:rPr>
          <w:rtl w:val="0"/>
        </w:rPr>
        <w:t xml:space="preserve">3.9. La pertinencia de ordenar la publicación de la presente resolución</w:t>
      </w:r>
    </w:p>
    <w:p w:rsidR="00000000" w:rsidDel="00000000" w:rsidP="00000000" w:rsidRDefault="00000000" w:rsidRPr="00000000" w14:paraId="000000B4">
      <w:pPr>
        <w:spacing w:line="360" w:lineRule="auto"/>
        <w:jc w:val="both"/>
        <w:rPr/>
      </w:pPr>
      <w:r w:rsidDel="00000000" w:rsidR="00000000" w:rsidRPr="00000000">
        <w:rPr>
          <w:rtl w:val="0"/>
        </w:rPr>
        <w:t xml:space="preserve">Corresponde señalar que el pedido de Bembos para que la Comisión ordenara la publicación de la presente resolución, ha sido concedido según lo dispuesto en el punto 3.8 precedente, dado que mediante la presente resolución la Comisión ha decidido establecer un precedente de observancia obligatoria.</w:t>
      </w:r>
    </w:p>
    <w:p w:rsidR="00000000" w:rsidDel="00000000" w:rsidP="00000000" w:rsidRDefault="00000000" w:rsidRPr="00000000" w14:paraId="000000B5">
      <w:pPr>
        <w:spacing w:line="360" w:lineRule="auto"/>
        <w:jc w:val="both"/>
        <w:rPr/>
      </w:pPr>
      <w:r w:rsidDel="00000000" w:rsidR="00000000" w:rsidRPr="00000000">
        <w:rPr>
          <w:rtl w:val="0"/>
        </w:rPr>
        <w:t xml:space="preserve">4. RESOLUCIÓN</w:t>
      </w:r>
    </w:p>
    <w:p w:rsidR="00000000" w:rsidDel="00000000" w:rsidP="00000000" w:rsidRDefault="00000000" w:rsidRPr="00000000" w14:paraId="000000B6">
      <w:pPr>
        <w:spacing w:line="360" w:lineRule="auto"/>
        <w:jc w:val="both"/>
        <w:rPr/>
      </w:pPr>
      <w:r w:rsidDel="00000000" w:rsidR="00000000" w:rsidRPr="00000000">
        <w:rPr>
          <w:rtl w:val="0"/>
        </w:rPr>
        <w:t xml:space="preserve">De conformidad con lo dispuesto en los artículos 19 y 24 del Decreto Ley N° 25868 - Ley de Organización y Funciones del Indecopi, y el artículo 25 del Decreto Legislativo N° 807 - Ley sobre Facultades, Normas y Organización del Indecopi, la Comisión de Represión de la Competencia Desleal,</w:t>
      </w:r>
    </w:p>
    <w:p w:rsidR="00000000" w:rsidDel="00000000" w:rsidP="00000000" w:rsidRDefault="00000000" w:rsidRPr="00000000" w14:paraId="000000B7">
      <w:pPr>
        <w:spacing w:line="360" w:lineRule="auto"/>
        <w:jc w:val="both"/>
        <w:rPr/>
      </w:pPr>
      <w:r w:rsidDel="00000000" w:rsidR="00000000" w:rsidRPr="00000000">
        <w:rPr>
          <w:rtl w:val="0"/>
        </w:rPr>
        <w:t xml:space="preserve">HA RESUELTO:</w:t>
      </w:r>
    </w:p>
    <w:p w:rsidR="00000000" w:rsidDel="00000000" w:rsidP="00000000" w:rsidRDefault="00000000" w:rsidRPr="00000000" w14:paraId="000000B8">
      <w:pPr>
        <w:spacing w:line="360" w:lineRule="auto"/>
        <w:jc w:val="both"/>
        <w:rPr/>
      </w:pPr>
      <w:r w:rsidDel="00000000" w:rsidR="00000000" w:rsidRPr="00000000">
        <w:rPr>
          <w:rtl w:val="0"/>
        </w:rPr>
        <w:t xml:space="preserve">PRIMERO: Declarar INADMISIBLES la tacha y la oposición formuladas por Renzo’s Pollería Restaurant Snack S.R.L. en su escrito de fecha 25 de noviembre de 2004, por las consideraciones expuestas en la presente resolución.</w:t>
      </w:r>
    </w:p>
    <w:p w:rsidR="00000000" w:rsidDel="00000000" w:rsidP="00000000" w:rsidRDefault="00000000" w:rsidRPr="00000000" w14:paraId="000000B9">
      <w:pPr>
        <w:spacing w:line="360" w:lineRule="auto"/>
        <w:jc w:val="both"/>
        <w:rPr/>
      </w:pPr>
      <w:r w:rsidDel="00000000" w:rsidR="00000000" w:rsidRPr="00000000">
        <w:rPr>
          <w:rtl w:val="0"/>
        </w:rPr>
        <w:t xml:space="preserve">SEGUNDO: Declarar FUNDADA la denuncia de fecha 19 de agosto de 2004 presentada por Bembos S.A.C. en contra de Renzo’s Pollería Restaurant Snack S.R.L. por la comisión de actos de competencia desleal en las modalidades de confusión y explotación de la reputación ajena, según los supuestos ejemplificados en los artículos 8 y 14, respectivamente, del Decreto Ley N° 26122 - Ley sobre Represión de la Competencia Desleal, en consecuencia prohibidos y sancionados conforme a lo establecido en el artículo 6 del referido cuerpo legal.</w:t>
      </w:r>
    </w:p>
    <w:p w:rsidR="00000000" w:rsidDel="00000000" w:rsidP="00000000" w:rsidRDefault="00000000" w:rsidRPr="00000000" w14:paraId="000000BA">
      <w:pPr>
        <w:spacing w:line="360" w:lineRule="auto"/>
        <w:jc w:val="both"/>
        <w:rPr/>
      </w:pPr>
      <w:r w:rsidDel="00000000" w:rsidR="00000000" w:rsidRPr="00000000">
        <w:rPr>
          <w:rtl w:val="0"/>
        </w:rPr>
        <w:t xml:space="preserve">TERCERO: SANCIONAR a Renzo’s Pollería Restaurant Snack S.R.L. con una multa de cinco (5) Unidades Impositivas Tributarias y ordenar su inscripción en el registro de infractores a que se refiere el artículo 40 del Decreto Legislativo N° 807 - Ley sobre Facultades, Normas y Organización del Indecopi.</w:t>
      </w:r>
    </w:p>
    <w:p w:rsidR="00000000" w:rsidDel="00000000" w:rsidP="00000000" w:rsidRDefault="00000000" w:rsidRPr="00000000" w14:paraId="000000BB">
      <w:pPr>
        <w:spacing w:line="360" w:lineRule="auto"/>
        <w:jc w:val="both"/>
        <w:rPr/>
      </w:pPr>
      <w:r w:rsidDel="00000000" w:rsidR="00000000" w:rsidRPr="00000000">
        <w:rPr>
          <w:rtl w:val="0"/>
        </w:rPr>
        <w:t xml:space="preserve">CUARTO: PROHIBIR a Renzo’s Pollería Restaurant Snack S.R.L., en calidad de medida complementaria, y de conformidad con lo establecido por el artículo 22 del Decreto Ley N° 26122 - Ley sobre Represión de la Competencia Desleal, que presente tanto en el aspecto interno como externo del establecimiento denunciado o de cualquier otro bajo su conducción, elementos que puedan generar confusión en los consumidores sobre su origen empresarial y que puedan generar un riesgo de asociación respecto de los establecimientos de Bembos S.A.C. o una explotación indebida de la reputación que corresponde a esta empresa en el mercado.</w:t>
      </w:r>
    </w:p>
    <w:p w:rsidR="00000000" w:rsidDel="00000000" w:rsidP="00000000" w:rsidRDefault="00000000" w:rsidRPr="00000000" w14:paraId="000000BC">
      <w:pPr>
        <w:spacing w:line="360" w:lineRule="auto"/>
        <w:jc w:val="both"/>
        <w:rPr/>
      </w:pPr>
      <w:r w:rsidDel="00000000" w:rsidR="00000000" w:rsidRPr="00000000">
        <w:rPr>
          <w:rtl w:val="0"/>
        </w:rPr>
        <w:t xml:space="preserve">QUINTO: DENEGAR el pedido de sanción a Renzo’s Pollería Restaurant Snack S.R.L. por el incumplimiento de la medida cautelar ordenada en la Resolución N° 3, por las consideraciones expuestas en la presente resolución.</w:t>
      </w:r>
    </w:p>
    <w:p w:rsidR="00000000" w:rsidDel="00000000" w:rsidP="00000000" w:rsidRDefault="00000000" w:rsidRPr="00000000" w14:paraId="000000BD">
      <w:pPr>
        <w:spacing w:line="360" w:lineRule="auto"/>
        <w:jc w:val="both"/>
        <w:rPr/>
      </w:pPr>
      <w:r w:rsidDel="00000000" w:rsidR="00000000" w:rsidRPr="00000000">
        <w:rPr>
          <w:rtl w:val="0"/>
        </w:rPr>
        <w:t xml:space="preserve">SEXTO: ORDENAR a Renzo’s Pollería Restaurant Snack S.R.L. que cumpla con lo ordenado por la presente resolución en un plazo no mayor de tres (3) días contados desde que la presente resolución quede consentida o, en su caso, sea confirmada por la Sala de Defensa de la Competencia del Indecopi. Esta orden se debe cumplir bajo apercibimiento de imponer una nueva sanción y ordenar su cobranza coactiva, de conformidad con lo dispuesto por el artículo 26 del Decreto Ley N° 26122 - Ley sobre Represión de la Competencia Desleal.</w:t>
      </w:r>
    </w:p>
    <w:p w:rsidR="00000000" w:rsidDel="00000000" w:rsidP="00000000" w:rsidRDefault="00000000" w:rsidRPr="00000000" w14:paraId="000000BE">
      <w:pPr>
        <w:spacing w:line="360" w:lineRule="auto"/>
        <w:jc w:val="both"/>
        <w:rPr/>
      </w:pPr>
      <w:r w:rsidDel="00000000" w:rsidR="00000000" w:rsidRPr="00000000">
        <w:rPr>
          <w:rtl w:val="0"/>
        </w:rPr>
        <w:t xml:space="preserve">SÉPTIMO: De conformidad con lo establecido en el artículo 43° del Decreto Legislativo N° 807, declarar que la presente resolución constituye precedente de observancia obligatoria en la aplicación del siguiente principio:</w:t>
      </w:r>
    </w:p>
    <w:p w:rsidR="00000000" w:rsidDel="00000000" w:rsidP="00000000" w:rsidRDefault="00000000" w:rsidRPr="00000000" w14:paraId="000000BF">
      <w:pPr>
        <w:spacing w:line="360" w:lineRule="auto"/>
        <w:jc w:val="both"/>
        <w:rPr/>
      </w:pPr>
      <w:r w:rsidDel="00000000" w:rsidR="00000000" w:rsidRPr="00000000">
        <w:rPr>
          <w:rtl w:val="0"/>
        </w:rPr>
        <w:t xml:space="preserve">1. - El denominado “derecho a imitar”, que consiste en que un concurrente en el mercado puede lícitamente imitar las iniciativas empresariales de otro concurrente, constituye una de las manifestaciones de la libertad de iniciativa privada en materia económica, consagrada y protegida por artículo 58 de la Constitución Política del Perú. Sin embargo, el denominado “derecho a imitar” no puede ser ejercido por las empresas de modo irrestricto, debe ser ejercido respetando los límites que el ordenamiento jurídico establece.</w:t>
      </w:r>
    </w:p>
    <w:p w:rsidR="00000000" w:rsidDel="00000000" w:rsidP="00000000" w:rsidRDefault="00000000" w:rsidRPr="00000000" w14:paraId="000000C0">
      <w:pPr>
        <w:spacing w:line="360" w:lineRule="auto"/>
        <w:jc w:val="both"/>
        <w:rPr/>
      </w:pPr>
      <w:r w:rsidDel="00000000" w:rsidR="00000000" w:rsidRPr="00000000">
        <w:rPr>
          <w:rtl w:val="0"/>
        </w:rPr>
        <w:t xml:space="preserve">2. - Un primer límite a la imitación consiste en el respeto que los concurrentes en el mercado deben tener por los derechos de propiedad intelectual de terceros, como es el caso de las marcas que otorgan protección sobre determinados signos, de patentes que otorgan protección sobre determinadas invenciones y de titularidades de derechos de autor que otorgan protección sobre determinadas obras, entre otros. Mediante los derechos de propiedad intelectual, el titular de un signo, invención u obra goza de una protección tal que la imitación de otro concurrente respecto de estos elementos es ilícita, según lo precisado por las normas en la materia.</w:t>
      </w:r>
    </w:p>
    <w:p w:rsidR="00000000" w:rsidDel="00000000" w:rsidP="00000000" w:rsidRDefault="00000000" w:rsidRPr="00000000" w14:paraId="000000C1">
      <w:pPr>
        <w:spacing w:line="360" w:lineRule="auto"/>
        <w:jc w:val="both"/>
        <w:rPr/>
      </w:pPr>
      <w:r w:rsidDel="00000000" w:rsidR="00000000" w:rsidRPr="00000000">
        <w:rPr>
          <w:rtl w:val="0"/>
        </w:rPr>
        <w:t xml:space="preserve">3. - Un segundo límite a la imitación consiste en el “deber de diferenciación” que corresponde a los concurrentes en el mercado. Este deber es exigido por las normas que reprimen la competencia desleal y significa que, si bien los concurrentes tienen “derecho a imitar”, tienen como contraparte la obligación de evitar, en observancia de la buena fe comercial, que alguna imitación sea capaz de: i) generar confusión respecto del origen empresarial de los bienes o servicios que colocan en el mercado, así como sobre los establecimientos utilizados para tal fin; ii) conllevar que el concurrente imitado no pueda diferenciarse o afirmarse en el mercado por causa de una imitación sistemática; o, iii) significar una explotación indebida de la reputación que corresponde a otro concurrente en el mercado. Estas tres conductas son consideradas contrarias a la buena fe comercial que rige las actividades comerciales y son ejemplificadas como actos de competencia desleal, respectivamente, en los artículos 8, 13 y 14 de la Ley sobre Represión de la Competencia Desleal, siendo prohibidas por el artículo 6 de la misma ley, que constituye la tipificación expresa exigida por el artículo 230.4 de la Ley del Procedimiento Administrativo General para aplicarlas sanciones correspondientes.</w:t>
      </w:r>
    </w:p>
    <w:p w:rsidR="00000000" w:rsidDel="00000000" w:rsidP="00000000" w:rsidRDefault="00000000" w:rsidRPr="00000000" w14:paraId="000000C2">
      <w:pPr>
        <w:spacing w:line="360" w:lineRule="auto"/>
        <w:jc w:val="both"/>
        <w:rPr/>
      </w:pPr>
      <w:r w:rsidDel="00000000" w:rsidR="00000000" w:rsidRPr="00000000">
        <w:rPr>
          <w:rtl w:val="0"/>
        </w:rPr>
        <w:t xml:space="preserve">4. - En particular, sobre los actos de confusión respecto del origen empresarial, cabe precisar que la confusión puede ser de tres tipos: a) directa, b) indirecta y c) de riesgo asociativo. En los tres casos bastará que exista un riesgo de confusión para considerar la conducta como un acto de competencia desleal.</w:t>
      </w:r>
    </w:p>
    <w:p w:rsidR="00000000" w:rsidDel="00000000" w:rsidP="00000000" w:rsidRDefault="00000000" w:rsidRPr="00000000" w14:paraId="000000C3">
      <w:pPr>
        <w:spacing w:line="360" w:lineRule="auto"/>
        <w:jc w:val="both"/>
        <w:rPr/>
      </w:pPr>
      <w:r w:rsidDel="00000000" w:rsidR="00000000" w:rsidRPr="00000000">
        <w:rPr>
          <w:rtl w:val="0"/>
        </w:rPr>
        <w:t xml:space="preserve">La confusión directa ocurre cuando los consumidores pueden asumir que los bienes, servicios o establecimientos de un concurrente en el mercado guardan identidad con los que corresponden a otro concurrente, viéndose inducidos a error por no ser ello cierto. Esta confusión podría ocurrir a causa de una extrema similitud en signos, presentación o apariencia general de los bienes, los servicios o los establecimientos en cuestión.</w:t>
      </w:r>
    </w:p>
    <w:p w:rsidR="00000000" w:rsidDel="00000000" w:rsidP="00000000" w:rsidRDefault="00000000" w:rsidRPr="00000000" w14:paraId="000000C4">
      <w:pPr>
        <w:spacing w:line="360" w:lineRule="auto"/>
        <w:jc w:val="both"/>
        <w:rPr/>
      </w:pPr>
      <w:r w:rsidDel="00000000" w:rsidR="00000000" w:rsidRPr="00000000">
        <w:rPr>
          <w:rtl w:val="0"/>
        </w:rPr>
        <w:t xml:space="preserve">La confusión indirecta ocurre cuando los consumidores pueden diferenciar claramente bienes, servicios o establecimientos distintos, pero pueden pensar, equivocadamente, que pertenecen al mismo concurrente en el mercado, cuando en realidad pertenecen a dos concurrentes distintos. Esta confusión podría ocurrir a causa de algunas similitudes en signos, presentación o apariencia general de los bienes, servicios o establecimientos en cuestión.</w:t>
      </w:r>
    </w:p>
    <w:p w:rsidR="00000000" w:rsidDel="00000000" w:rsidP="00000000" w:rsidRDefault="00000000" w:rsidRPr="00000000" w14:paraId="000000C5">
      <w:pPr>
        <w:spacing w:line="360" w:lineRule="auto"/>
        <w:jc w:val="both"/>
        <w:rPr/>
      </w:pPr>
      <w:r w:rsidDel="00000000" w:rsidR="00000000" w:rsidRPr="00000000">
        <w:rPr>
          <w:rtl w:val="0"/>
        </w:rPr>
        <w:t xml:space="preserve">La confusión en la modalidad de riesgo de asociación ocurre cuando los consumidores pueden diferenciar los bienes, servicios o establecimientos de un concurrente en el mercado frente a los de otro concurrente, pero pueden, como consecuencia de la similitud existente entre algunos elementos que caracterizan las ofertas de ambos, considerar que entre estos existe vinculación económica u organizativa, cuando en realidad dicha vinculación no existe. Esta confusión podría ocurrir a causa de una mínima similitud en signos, presentación o apariencia general de los bienes, servicios o establecimientos en cuestión.</w:t>
      </w:r>
    </w:p>
    <w:p w:rsidR="00000000" w:rsidDel="00000000" w:rsidP="00000000" w:rsidRDefault="00000000" w:rsidRPr="00000000" w14:paraId="000000C6">
      <w:pPr>
        <w:spacing w:line="360" w:lineRule="auto"/>
        <w:jc w:val="both"/>
        <w:rPr/>
      </w:pPr>
      <w:r w:rsidDel="00000000" w:rsidR="00000000" w:rsidRPr="00000000">
        <w:rPr>
          <w:rtl w:val="0"/>
        </w:rPr>
        <w:t xml:space="preserve">5.- Finalmente, a efectos de evaluar si se produce un acto de confusión respecto de elementos sobre los que no recae derecho de propiedad intelectual alguno, la autoridad administrativa, para determinar si un concurrente ha infringido el “deber de diferenciación” que le es exigible, debe evaluar fundamentalmente que los signos, presentación y/o apariencia general de los bienes, servicios o establecimientos que corresponden al concurrente presuntamente afectado por la imitación, cuando menos: i) sean capaces individualmente o en conjunto de generar un efecto identificador del origen empresarial y diferenciador de la oferta de este concurrente frente a los demás concurrentes en el mercado; ii) no sean una respuesta a necesidades propias de la actividad económica que este concurrente realiza; iii) no sean un estándar en el mercado; y, iv) conformen una apariencia que pueda ser evitada por los demás concurrentes sin incurrir en elevados costos de diferenciación.</w:t>
      </w:r>
    </w:p>
    <w:p w:rsidR="00000000" w:rsidDel="00000000" w:rsidP="00000000" w:rsidRDefault="00000000" w:rsidRPr="00000000" w14:paraId="000000C7">
      <w:pPr>
        <w:spacing w:line="360" w:lineRule="auto"/>
        <w:jc w:val="both"/>
        <w:rPr/>
      </w:pPr>
      <w:r w:rsidDel="00000000" w:rsidR="00000000" w:rsidRPr="00000000">
        <w:rPr>
          <w:rtl w:val="0"/>
        </w:rPr>
        <w:t xml:space="preserve">OCTAVO: Solicitar al Directorio del Indecopi que se sirva ordenar la publicación de la presente Resolución en el diario oficial El Peruano.</w:t>
      </w:r>
    </w:p>
    <w:p w:rsidR="00000000" w:rsidDel="00000000" w:rsidP="00000000" w:rsidRDefault="00000000" w:rsidRPr="00000000" w14:paraId="000000C8">
      <w:pPr>
        <w:spacing w:line="360" w:lineRule="auto"/>
        <w:jc w:val="both"/>
        <w:rPr/>
      </w:pPr>
      <w:r w:rsidDel="00000000" w:rsidR="00000000" w:rsidRPr="00000000">
        <w:rPr>
          <w:rtl w:val="0"/>
        </w:rPr>
        <w:t xml:space="preserve">Con la intervención de los señores miembros de Comisión: Ramón Bueno-Tizón, Mauricio Lerner, Alfredo Castillo y José Perla. Sin la participación de Enrique Bardales.</w:t>
      </w:r>
    </w:p>
    <w:p w:rsidR="00000000" w:rsidDel="00000000" w:rsidP="00000000" w:rsidRDefault="00000000" w:rsidRPr="00000000" w14:paraId="000000C9">
      <w:pPr>
        <w:spacing w:line="360" w:lineRule="auto"/>
        <w:jc w:val="both"/>
        <w:rPr/>
      </w:pPr>
      <w:r w:rsidDel="00000000" w:rsidR="00000000" w:rsidRPr="00000000">
        <w:rPr>
          <w:rtl w:val="0"/>
        </w:rPr>
      </w:r>
    </w:p>
    <w:p w:rsidR="00000000" w:rsidDel="00000000" w:rsidP="00000000" w:rsidRDefault="00000000" w:rsidRPr="00000000" w14:paraId="000000CA">
      <w:pPr>
        <w:spacing w:after="0" w:line="240" w:lineRule="auto"/>
        <w:jc w:val="center"/>
        <w:rPr/>
      </w:pPr>
      <w:r w:rsidDel="00000000" w:rsidR="00000000" w:rsidRPr="00000000">
        <w:rPr>
          <w:rtl w:val="0"/>
        </w:rPr>
        <w:t xml:space="preserve">RAMON BUENO-TIZON DEZA</w:t>
      </w:r>
    </w:p>
    <w:p w:rsidR="00000000" w:rsidDel="00000000" w:rsidP="00000000" w:rsidRDefault="00000000" w:rsidRPr="00000000" w14:paraId="000000CB">
      <w:pPr>
        <w:spacing w:after="0" w:line="240" w:lineRule="auto"/>
        <w:jc w:val="center"/>
        <w:rPr/>
      </w:pPr>
      <w:r w:rsidDel="00000000" w:rsidR="00000000" w:rsidRPr="00000000">
        <w:rPr>
          <w:rtl w:val="0"/>
        </w:rPr>
        <w:t xml:space="preserve">Presidente</w:t>
      </w:r>
    </w:p>
    <w:p w:rsidR="00000000" w:rsidDel="00000000" w:rsidP="00000000" w:rsidRDefault="00000000" w:rsidRPr="00000000" w14:paraId="000000CC">
      <w:pPr>
        <w:spacing w:after="0" w:line="240" w:lineRule="auto"/>
        <w:jc w:val="center"/>
        <w:rPr/>
      </w:pPr>
      <w:r w:rsidDel="00000000" w:rsidR="00000000" w:rsidRPr="00000000">
        <w:rPr>
          <w:rtl w:val="0"/>
        </w:rPr>
        <w:t xml:space="preserve">Comisión de Represión dela Competencia Desleal</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Sitka Small"/>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Sitka Small" w:cs="Sitka Small" w:eastAsia="Sitka Small" w:hAnsi="Sitka Small"/>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5100C9"/>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Ds+Lc9uBqIZqci8Vyk9a9YgF4fw==">CgMxLjAyCGguZ2pkZ3hzOAByITE4QndtRGVQMnJLRWNybjFrc0hvdnJUX2REZzlqNmNaLQ==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2022-09-07T18:13:00Z</dcterms:created>
  <dc:creator>Cuenta Microsoft</dc:creator>
</cp:coreProperties>
</file>