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Corte Superior de Justicia de Lima. Décimo primer juzgado constitucional. (2019, 22 de marzo). Sentencia N.° 10776-2017. Lima. (Estrada de la Cruz, Luis). </w:t>
      </w:r>
    </w:p>
    <w:p w:rsidR="00000000" w:rsidDel="00000000" w:rsidP="00000000" w:rsidRDefault="00000000" w:rsidRPr="00000000" w14:paraId="00000002">
      <w:pPr>
        <w:rPr/>
      </w:pPr>
      <w:r w:rsidDel="00000000" w:rsidR="00000000" w:rsidRPr="00000000">
        <w:rPr>
          <w:rtl w:val="0"/>
        </w:rPr>
        <w:t xml:space="preserve"> </w:t>
      </w:r>
      <w:hyperlink r:id="rId7">
        <w:r w:rsidDel="00000000" w:rsidR="00000000" w:rsidRPr="00000000">
          <w:rPr>
            <w:color w:val="1155cc"/>
            <w:u w:val="single"/>
            <w:rtl w:val="0"/>
          </w:rPr>
          <w:t xml:space="preserve">https://static.legis.pe/wp-content/uploads/2019/04/Exp.-10776-2017-Legis.pe_.pdf.pdf?fbclid=IwAR065zt_4vonSkd5cPWhNqAJQW-nuEOgxqXp9V-P7mkq5o6kSK5EvLd54dA</w:t>
        </w:r>
      </w:hyperlink>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b w:val="1"/>
          <w:rtl w:val="0"/>
        </w:rPr>
        <w:t xml:space="preserve">Inicio pagina 1</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CORTE SUPERIOR DE JUSTICIA DE LIMA</w:t>
      </w:r>
    </w:p>
    <w:p w:rsidR="00000000" w:rsidDel="00000000" w:rsidP="00000000" w:rsidRDefault="00000000" w:rsidRPr="00000000" w14:paraId="00000008">
      <w:pPr>
        <w:rPr/>
      </w:pPr>
      <w:r w:rsidDel="00000000" w:rsidR="00000000" w:rsidRPr="00000000">
        <w:rPr>
          <w:rtl w:val="0"/>
        </w:rPr>
        <w:t xml:space="preserve">DÉCIMO PRIMER JUZGADO CONSTITUCIONAL</w:t>
      </w:r>
    </w:p>
    <w:p w:rsidR="00000000" w:rsidDel="00000000" w:rsidP="00000000" w:rsidRDefault="00000000" w:rsidRPr="00000000" w14:paraId="00000009">
      <w:pPr>
        <w:rPr/>
      </w:pPr>
      <w:r w:rsidDel="00000000" w:rsidR="00000000" w:rsidRPr="00000000">
        <w:rPr>
          <w:rtl w:val="0"/>
        </w:rPr>
        <w:t xml:space="preserve">Sub Especializado en Asuntos Tributarios, Aduaneros e Indecopi</w:t>
      </w:r>
    </w:p>
    <w:p w:rsidR="00000000" w:rsidDel="00000000" w:rsidP="00000000" w:rsidRDefault="00000000" w:rsidRPr="00000000" w14:paraId="0000000A">
      <w:pPr>
        <w:rPr/>
      </w:pPr>
      <w:r w:rsidDel="00000000" w:rsidR="00000000" w:rsidRPr="00000000">
        <w:rPr>
          <w:rtl w:val="0"/>
        </w:rPr>
        <w:t xml:space="preserve">Esquina de la Av. Colmena con Rufino Torrico - Cercado de Lima</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pStyle w:val="Heading1"/>
        <w:rPr/>
      </w:pPr>
      <w:bookmarkStart w:colFirst="0" w:colLast="0" w:name="_heading=h.pnmv59k5lt68" w:id="0"/>
      <w:bookmarkEnd w:id="0"/>
      <w:r w:rsidDel="00000000" w:rsidR="00000000" w:rsidRPr="00000000">
        <w:rPr>
          <w:rtl w:val="0"/>
        </w:rPr>
        <w:t xml:space="preserve">Expediente : 10776 -2017</w:t>
      </w:r>
    </w:p>
    <w:p w:rsidR="00000000" w:rsidDel="00000000" w:rsidP="00000000" w:rsidRDefault="00000000" w:rsidRPr="00000000" w14:paraId="0000000D">
      <w:pPr>
        <w:rPr/>
      </w:pPr>
      <w:r w:rsidDel="00000000" w:rsidR="00000000" w:rsidRPr="00000000">
        <w:rPr>
          <w:rtl w:val="0"/>
        </w:rPr>
        <w:t xml:space="preserve">Especialista : Estrada de la Cruz, Luis.</w:t>
      </w:r>
    </w:p>
    <w:p w:rsidR="00000000" w:rsidDel="00000000" w:rsidP="00000000" w:rsidRDefault="00000000" w:rsidRPr="00000000" w14:paraId="0000000E">
      <w:pPr>
        <w:rPr/>
      </w:pPr>
      <w:r w:rsidDel="00000000" w:rsidR="00000000" w:rsidRPr="00000000">
        <w:rPr>
          <w:rtl w:val="0"/>
        </w:rPr>
        <w:t xml:space="preserve">Demandantes : Susel Ana María Paredes Pique y Gracia María Francisca Aljovín de</w:t>
      </w:r>
    </w:p>
    <w:p w:rsidR="00000000" w:rsidDel="00000000" w:rsidP="00000000" w:rsidRDefault="00000000" w:rsidRPr="00000000" w14:paraId="0000000F">
      <w:pPr>
        <w:rPr/>
      </w:pPr>
      <w:r w:rsidDel="00000000" w:rsidR="00000000" w:rsidRPr="00000000">
        <w:rPr>
          <w:rtl w:val="0"/>
        </w:rPr>
        <w:t xml:space="preserve">Losada</w:t>
      </w:r>
    </w:p>
    <w:p w:rsidR="00000000" w:rsidDel="00000000" w:rsidP="00000000" w:rsidRDefault="00000000" w:rsidRPr="00000000" w14:paraId="00000010">
      <w:pPr>
        <w:rPr/>
      </w:pPr>
      <w:r w:rsidDel="00000000" w:rsidR="00000000" w:rsidRPr="00000000">
        <w:rPr>
          <w:rtl w:val="0"/>
        </w:rPr>
        <w:t xml:space="preserve">Demandado : Registro Nacional de Identificación y Estado Civil RENIEC y MINJUS</w:t>
      </w:r>
    </w:p>
    <w:p w:rsidR="00000000" w:rsidDel="00000000" w:rsidP="00000000" w:rsidRDefault="00000000" w:rsidRPr="00000000" w14:paraId="00000011">
      <w:pPr>
        <w:rPr/>
      </w:pPr>
      <w:r w:rsidDel="00000000" w:rsidR="00000000" w:rsidRPr="00000000">
        <w:rPr>
          <w:rtl w:val="0"/>
        </w:rPr>
        <w:t xml:space="preserve">Materia : PROCESO DE AMPARO</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pStyle w:val="Heading1"/>
        <w:rPr/>
      </w:pPr>
      <w:bookmarkStart w:colFirst="0" w:colLast="0" w:name="_heading=h.qxxqkjyf26ck" w:id="1"/>
      <w:bookmarkEnd w:id="1"/>
      <w:r w:rsidDel="00000000" w:rsidR="00000000" w:rsidRPr="00000000">
        <w:rPr>
          <w:rtl w:val="0"/>
        </w:rPr>
        <w:t xml:space="preserve">SENTENCIA</w:t>
      </w:r>
    </w:p>
    <w:p w:rsidR="00000000" w:rsidDel="00000000" w:rsidP="00000000" w:rsidRDefault="00000000" w:rsidRPr="00000000" w14:paraId="00000014">
      <w:pPr>
        <w:rPr/>
      </w:pPr>
      <w:r w:rsidDel="00000000" w:rsidR="00000000" w:rsidRPr="00000000">
        <w:rPr>
          <w:rtl w:val="0"/>
        </w:rPr>
        <w:t xml:space="preserve">RESOLUCIÓN OCHO.</w:t>
      </w:r>
    </w:p>
    <w:p w:rsidR="00000000" w:rsidDel="00000000" w:rsidP="00000000" w:rsidRDefault="00000000" w:rsidRPr="00000000" w14:paraId="00000015">
      <w:pPr>
        <w:rPr/>
      </w:pPr>
      <w:r w:rsidDel="00000000" w:rsidR="00000000" w:rsidRPr="00000000">
        <w:rPr>
          <w:rtl w:val="0"/>
        </w:rPr>
        <w:t xml:space="preserve">Lima, 22 de Marzo de 2019</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pStyle w:val="Heading1"/>
        <w:rPr/>
      </w:pPr>
      <w:bookmarkStart w:colFirst="0" w:colLast="0" w:name="_heading=h.9n2469f4ifmg" w:id="2"/>
      <w:bookmarkEnd w:id="2"/>
      <w:r w:rsidDel="00000000" w:rsidR="00000000" w:rsidRPr="00000000">
        <w:rPr>
          <w:rtl w:val="0"/>
        </w:rPr>
        <w:t xml:space="preserve">VISTOS:</w:t>
      </w:r>
    </w:p>
    <w:p w:rsidR="00000000" w:rsidDel="00000000" w:rsidP="00000000" w:rsidRDefault="00000000" w:rsidRPr="00000000" w14:paraId="00000018">
      <w:pPr>
        <w:rPr/>
      </w:pPr>
      <w:r w:rsidDel="00000000" w:rsidR="00000000" w:rsidRPr="00000000">
        <w:rPr>
          <w:rtl w:val="0"/>
        </w:rPr>
        <w:t xml:space="preserve">El proceso de amparo promovido por Susel Ana María Paredes Pique y Gracia María Francisca Aljovín de Losada, contra el Registro Nacional de Identificación y Estado Civil (en adelante RENIEC) y el Ministerio de Justicia, MINJUS.</w:t>
      </w:r>
    </w:p>
    <w:p w:rsidR="00000000" w:rsidDel="00000000" w:rsidP="00000000" w:rsidRDefault="00000000" w:rsidRPr="00000000" w14:paraId="00000019">
      <w:pPr>
        <w:rPr/>
      </w:pPr>
      <w:r w:rsidDel="00000000" w:rsidR="00000000" w:rsidRPr="00000000">
        <w:rPr>
          <w:rtl w:val="0"/>
        </w:rPr>
        <w:t xml:space="preserve">PRETENSIÓN PRINCIPAL:</w:t>
      </w:r>
    </w:p>
    <w:p w:rsidR="00000000" w:rsidDel="00000000" w:rsidP="00000000" w:rsidRDefault="00000000" w:rsidRPr="00000000" w14:paraId="0000001A">
      <w:pPr>
        <w:rPr/>
      </w:pPr>
      <w:r w:rsidDel="00000000" w:rsidR="00000000" w:rsidRPr="00000000">
        <w:rPr>
          <w:rtl w:val="0"/>
        </w:rPr>
        <w:t xml:space="preserve">Se declare la nulidad la Resolución Administrativa N° 077-2017/GOR/JR10LIM/RENIEC que declaró Infundada la apelación contra la Resolución N° 303-2017-GOR/JR10LIM/ORLIMRENIEC de 06 de febrero de 2017, emitida por la Oficina Registral de Lima, Confirmando la misma.</w:t>
      </w:r>
    </w:p>
    <w:p w:rsidR="00000000" w:rsidDel="00000000" w:rsidP="00000000" w:rsidRDefault="00000000" w:rsidRPr="00000000" w14:paraId="0000001B">
      <w:pPr>
        <w:rPr/>
      </w:pPr>
      <w:r w:rsidDel="00000000" w:rsidR="00000000" w:rsidRPr="00000000">
        <w:rPr>
          <w:rtl w:val="0"/>
        </w:rPr>
        <w:t xml:space="preserve">Se ordene reponer las cosas al estado anterior, ordenando a la demandada que vuelva a calificar el título que contiene la Partida de Matrimonio, siguiendo la interpretación de este derecho fundamental Pretensión Accesoria. Solicitan se ordene el pago de los costos procesales.</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pStyle w:val="Heading1"/>
        <w:rPr/>
      </w:pPr>
      <w:bookmarkStart w:colFirst="0" w:colLast="0" w:name="_heading=h.uhdz1gb0adno" w:id="3"/>
      <w:bookmarkEnd w:id="3"/>
      <w:r w:rsidDel="00000000" w:rsidR="00000000" w:rsidRPr="00000000">
        <w:rPr>
          <w:rtl w:val="0"/>
        </w:rPr>
        <w:t xml:space="preserve">I. PARTE EXPOSITIVA DEMANDA</w:t>
      </w:r>
    </w:p>
    <w:p w:rsidR="00000000" w:rsidDel="00000000" w:rsidP="00000000" w:rsidRDefault="00000000" w:rsidRPr="00000000" w14:paraId="0000001E">
      <w:pPr>
        <w:rPr/>
      </w:pPr>
      <w:r w:rsidDel="00000000" w:rsidR="00000000" w:rsidRPr="00000000">
        <w:rPr>
          <w:rtl w:val="0"/>
        </w:rPr>
        <w:t xml:space="preserve">1. Las demandantes, exponen que, en un viaje a la ciudad de Miami, contrajeron matrimonio Civil el 04 de agosto de 2016 y una vez recibida la correspondiente Partida de matrimonio, debidamente apostillada, se presentaron ante el RENIEC, solicitando su inscripción ante dicho Registro.</w:t>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rPr/>
      </w:pPr>
      <w:r w:rsidDel="00000000" w:rsidR="00000000" w:rsidRPr="00000000">
        <w:rPr>
          <w:rtl w:val="0"/>
        </w:rPr>
        <w:t xml:space="preserve">2. A insistencia de la demandada, adjuntaron una Carta exponiendo los fundamentos que sustenta su derecho a la inscripción de su matrimonio ante RENIEC. La solicitud fue rechazada por esta institución administrativa, mediante la citada Resolución que se impugna, el 06 de febrero de 2017, considerando que dicha Resolución no refuta ni se opone a ninguno de los argumentos de la carta, con lo que debe entenderse que están de acuerdo, no obstante, rechazan la misma.</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t xml:space="preserve">3. Impugnada la Resolución N° 303-2017-GOR/JR10LIM/ORLIMRENIEC, fue Conformada por</w:t>
      </w:r>
    </w:p>
    <w:p w:rsidR="00000000" w:rsidDel="00000000" w:rsidP="00000000" w:rsidRDefault="00000000" w:rsidRPr="00000000" w14:paraId="00000023">
      <w:pPr>
        <w:rPr/>
      </w:pPr>
      <w:r w:rsidDel="00000000" w:rsidR="00000000" w:rsidRPr="00000000">
        <w:rPr>
          <w:rtl w:val="0"/>
        </w:rPr>
        <w:t xml:space="preserve">la Instancia administrativa superior mediante Resolución N° 077-2017/GOR/JR10LIM/RENIEC, expresando que el artículo 2347 del Código Civil prescribe que, el matrimonio es la Unión voluntariamente concertada por un varón y una mujer, y al ser la de las solicitantes la unión concertada de dos mujeres, no es eficaz. Un segundo argumento es que al haber celebrado el matrimonio en la ciudad de Miami- Estados Unidos de Norteamérica, se encuentra determinada por las normas comprendidas en el Libro X del Código Civil, artículos 2075 y siguientes por lo que “el carácter extranjero de este elemento determina que estos matrimonios sean regulados por el Derecho Internacional Privado de los países involucrados", que si bien es válido en el país norteamericano, no lo es en el territorio peruano, donde es privativo para contrayentes de unión heterosexual.</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t xml:space="preserve">4. Consideran que no se fundamenta por qué no se aplica el artículo 10° del Pacto Internacional de Derechos Económicos, Sociales y culturales que garantiza el derecho de los cónyuges a contraer matrimonio, sin que se haga referencia alguna al sexo, o género , estableciéndose como única condición el que sea libre. Que, ni la constitución Peruana, ni el citado Pacto Internacional supeditan el derecho al matrimonio, a que los cónyuges sean de distinto sexo.</w:t>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t xml:space="preserve">5. Expresan que la Convención Americana sobre Derechos Humanos, (CADH), que recoge en la Carta de la Organización de los Estados Americanos, en la Declaración Americana de Derechos y deberes del Hombre y en la Declaración Universal de los Derechos Humanos. Que, la Declaración Americana de los Derechos del Hombre en su artículo VI prescribe que “toda persona tiene derecho a constituir familia, elemento fundamental de la sociedad y a recibir protección para ella", sin que este instrumento internacional haga distinción de las personas que constituyan familia, tengan que ser de determinado sexo o heterosexuales.</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6. Consideran que el artículo 234 del Código Civil sí excluye el derecho a contraer matrimonio a un amplio grupo de personas que representan el universo de personas, Lesbianas, gays, transgénero, bisexuales e intersexuales, (en adelante LGTBI), por lo que los discrimina y por tanto contraviene la CADH. En la Resolución Administrativa impugnada se incurre en error, al considerar que la citada norma del Código Civil es de carácter de orden público internacional, siendo que por el contrario, de acuerdo al artículo 2050 del Código Civil, “el derecho regularmente adquirido al amparo de un ordenamiento extranjero tiene la misma eficacia en el Perú’, en la medida en que sea compatible al orden público internacional y con las buenas costumbres. El matrimonio civil, de las contrayentes ha sido regularmente realizado de acuerdo a las leyes de Miami y no es incompatible con ninguna norma de orden público internacional, esto es que, no afecta al lus cogens, (normas de derecho imperativo), no afecta al matrimonio ni a las buenas costumbres.</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7. Precisa que se consideran normas de derecho internacional privado a las que regulan las relaciones jurídicas entre particulares, mientras se conoce como derecho Internacional Público a la disciplina y normas que regulan las relaciones entre los Estados y los particulares con los Estados. En el caso de las recurrentes, no pretende que se reconozca el derecho a contraer matrimonio, pues ya están casadas, sino a que se analice si la inscripción del mismo, viola el orden público internacional o no.</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t xml:space="preserve">Las demandantes, invocan asimismo afectación de otros derechos fundamentales y convencionales, a la dignidad, a la igualdad y no discriminación, a la personalidad jurídica, a su identidad, integridad moral y psicológica y al libre desarrollo y bienestar, a la protección de la familia, realizando amplia fundamentación teórica correspondiente, que se tiene presente.</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t xml:space="preserve">Contestación de la Procuraduría del Registro Nacional de Identificación y Estado Civil - RENIEC-.</w:t>
      </w:r>
    </w:p>
    <w:p w:rsidR="00000000" w:rsidDel="00000000" w:rsidP="00000000" w:rsidRDefault="00000000" w:rsidRPr="00000000" w14:paraId="00000030">
      <w:pPr>
        <w:rPr/>
      </w:pPr>
      <w:r w:rsidDel="00000000" w:rsidR="00000000" w:rsidRPr="00000000">
        <w:rPr>
          <w:rtl w:val="0"/>
        </w:rPr>
        <w:t xml:space="preserve">8. Expone que las demandantes no están solicitando el reconocimiento de un derecho ya adquirido o reconocido y por tanto que debe reponerse, sino que por la vía del Amparo, pretenden que se les reconozca un derecho que supuestamente le corresponde, por lo que la demanda debe ser declarada Improcedente. Argumenta que la finalidad de los derechos constitucionales es proteger derechos reconocidos por la Constitución con la finalidad de reponerlos lo que conlleva a demostrar que los tuvo con anterioridad al acto o amenaza de desconocerlos o, en todo caso, se cumpla con un mandato legado o acto administrativo.</w:t>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t xml:space="preserve">9. Considera que en la Constitución Política en ningún momento se ha reconocido el derecho a acceder a la institución del matrimonio a las personas del mismo sexo; que asimismo el código civil, de forma expresa regula que el matrimonio es la unión voluntariamente concertada por un varón y una mujer legalmente aptos para ella. Así, la pretensión de las demandantes no cuenta con sustento constitucional.</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t xml:space="preserve">10. Que, la legislación nacional, establece que corresponde a la Reniec, la inscripción del matrimonio realizado en el extranjero, dentro del plazo legal, reservando un procedimiento judicial según el Código Procesal Civil en el artículo 826, procedimiento que se pretende omitir al no haber acreditado el señalamiento de un domicilio en el país donde se efectuó el matrimonio materia del presente proceso.</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t xml:space="preserve">11. Existe vía igualmente satisfactiva, puesto que al haber agotado la vía administrativa, mediante las resoluciones que en esta vía se pretende impugnar, entonces estaban en la facultad de recurrir a la vía contencioso administrativa, vía en la que además se cuenta con etapa probatoria.</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t xml:space="preserve">12. Que en el extranjero se valió de la vigencia de una norma nacional que les prohibía el citado matrimonio y sin embargo, en el Perú pretenden se valide dicho matrimonio, lo que es un contrasentido.</w:t>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t xml:space="preserve">13. Que, el argumento de la no discriminación, no es válido para imponer ideas personales, pues con ese mismo criterio, podría exigirse que los peruanos convertidos al islam, que contrajeron matrimonios polígamos, pretendan el reconocimiento nacional de dichos matrimonios o reconocer matrimonios de menores de edad efectuado en países que así lo admitan.</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t xml:space="preserve">14. En cuanto la aplicación de normas internacionales, debe aplicarse en todo caso el Código de Bustamante, según el cual los Estados contratantes no quedan obligados a reconocer el matrimonio celebrado en cualquiera de ellos por sus connacionales o por extranjeros que contraríen sus disposiciones relativas a la necesidad de la disolución de un matrimonio anterior, entre otras prohibiciones o cualquier otra causa de nulidad insubsanable.</w:t>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t xml:space="preserve">15. Asimismo, considera que el reconocimiento de este tipo de matrimonio, resulta inequitativo, para otros connacionales que no estén en posibilidades para eludir limitaciones económicas.</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t xml:space="preserve">16. Asimismo sostiene que el Tribunal Constitucional al momento de pronunciarse sobre el cambio de género dictó lineamientos específicos en la sentencia STC 139-2013 , en la que señala que mediante dicho mecanismo, de cambio de género, el Tribunal Constitucional estaría introduciendo la vigencia del matrimonio de personas del mismo sexo, activismo que no se sustenta con el principio de separación de poderes de nuestra nación, pues es el Congreso de la República el que debe decidir sobre estos tópicos, en relación al derecho de familia.</w:t>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17. Expone asimismo que no es posible el control difuso en sede administrativa, según lo dispuso la STC 04293-2012- PA del Tribunal Constitucional, razones por las que debe declararse la improcedencia de la demanda.</w:t>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pStyle w:val="Heading1"/>
        <w:rPr/>
      </w:pPr>
      <w:bookmarkStart w:colFirst="0" w:colLast="0" w:name="_heading=h.1svxjgxufxif" w:id="4"/>
      <w:bookmarkEnd w:id="4"/>
      <w:r w:rsidDel="00000000" w:rsidR="00000000" w:rsidRPr="00000000">
        <w:rPr>
          <w:rtl w:val="0"/>
        </w:rPr>
        <w:t xml:space="preserve">II. PARTE CONSIDERATIVA</w:t>
      </w:r>
    </w:p>
    <w:p w:rsidR="00000000" w:rsidDel="00000000" w:rsidP="00000000" w:rsidRDefault="00000000" w:rsidRPr="00000000" w14:paraId="00000045">
      <w:pPr>
        <w:rPr/>
      </w:pPr>
      <w:r w:rsidDel="00000000" w:rsidR="00000000" w:rsidRPr="00000000">
        <w:rPr>
          <w:rtl w:val="0"/>
        </w:rPr>
        <w:t xml:space="preserve">CUESTIONES PROCESALES Y DE PROCEDENCIA:</w:t>
      </w:r>
    </w:p>
    <w:p w:rsidR="00000000" w:rsidDel="00000000" w:rsidP="00000000" w:rsidRDefault="00000000" w:rsidRPr="00000000" w14:paraId="00000046">
      <w:pPr>
        <w:rPr/>
      </w:pPr>
      <w:r w:rsidDel="00000000" w:rsidR="00000000" w:rsidRPr="00000000">
        <w:rPr>
          <w:rtl w:val="0"/>
        </w:rPr>
        <w:t xml:space="preserve">18. Esta judicatura admitió la demanda, incorporando además al Ministerio de Justicia, en tanto se solicita, la inaplicación de normas del Código Civil, argumentando afectaciones a derechos constitucionales y convencionales; sin embargo, el citado Ministerio, se ha apersonado al proceso, solo para deducir excepción de Falta de Legitimidad para obrar del demandado, (del Ministerio de Justicia), y al no haber contestado la demanda, ha sido declarado en rebeldía, con Resolución N° Cuatro de autos. Sin embargo, mediante escrito de fecha 10 de julio de 2018, ha solicitado también la suspensión del proceso, a efectos de esperar el pronunciamiento que sobre un caso similar, deberá decidir en última instancia, el Tribunal Constitucional. Con Resolución Cinco ha sido declarada Infundada la excepción deducida por el Procurador del Ministerio de Justicia e Improcedente la suspensión del proceso, con lo que la causa quedó expedita para ser sentenciada.</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t xml:space="preserve">19. De conformidad con el artículo 3° del Código Procesal Constitucional1, es procedente el Proceso de amparo contra normas autoaplicativas. Esta misma norma establece el procedimiento en caso la demanda sea declarada fundada y señala que son autoaplicativas aquellas normas que no necesitan acto administrativo o reglamento previo para su entrada en vigencia, sino que es la propia norma la que genera sus efectos sobre el derecho de la persona. Analizaremos así, en adelante, si estos efectos, son entonces, vulneratorios, de la Constitución o de la norma Convencional invocada.</w:t>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t xml:space="preserve">20. Es preciso tener presente que las normas legales, para estos efectos, pueden ser de dos tipos: las llamadas normas heteroaplicativas y las normas autoaplicativas. Sobre las primeras; el Tribunal Constitucional llama a este tipo: “Normas heteroaplicativas o de efectos mediatos”2 ; y las define como aquellas “que requieren de algún acto de ejecución posterior a la vigencia de la norma para poder ser efectivas”. Es decir, este tipo de normas tienen “su eficacia condicionada a la realización de actos posteriores de aplicación”. En el caso de las normas heteroaplicativas, la agresión del derecho constitucional viene producida por actos que se llegan a realizar debido a la cobertura legal que les da la norma cuya inconstitucionalidad se invoca. En estos casos, el amparo irá dirigido contra el acto agresor, que es distinto al acto legislativo mismo. No son por tanto procedentes, por Procesos de Amparo, cuando la norma es heteroaplicativa. La norma cuestionada es el artículo 234 del Código Civil, que establece como requisito que, en todo matrimonio los contrayentes sean un varón y una mujer, no requiere un acto adicional, de modo que su aplicación es inmediata en el acto mismo de celebración de dicho acto, lo que implica que no es necesaria, condición alguna; es decir que se trata de una norma autoaplicativa, siendo en tal sentido, procedente el amparo y analizaremos en adelante, si en efecto, vulnera el derecho de las demandantes.</w:t>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pStyle w:val="Heading1"/>
        <w:rPr/>
      </w:pPr>
      <w:bookmarkStart w:colFirst="0" w:colLast="0" w:name="_heading=h.fffjg4s99ga" w:id="5"/>
      <w:bookmarkEnd w:id="5"/>
      <w:r w:rsidDel="00000000" w:rsidR="00000000" w:rsidRPr="00000000">
        <w:rPr>
          <w:rtl w:val="0"/>
        </w:rPr>
        <w:t xml:space="preserve">OTRAS CUESTIONES DE PROCEDENCIA.</w:t>
      </w:r>
    </w:p>
    <w:p w:rsidR="00000000" w:rsidDel="00000000" w:rsidP="00000000" w:rsidRDefault="00000000" w:rsidRPr="00000000" w14:paraId="0000004D">
      <w:pPr>
        <w:rPr/>
      </w:pPr>
      <w:r w:rsidDel="00000000" w:rsidR="00000000" w:rsidRPr="00000000">
        <w:rPr>
          <w:rtl w:val="0"/>
        </w:rPr>
        <w:t xml:space="preserve">21. La Procuraduría Pública del Reniec, sin deducir una excepción formalmente, ha cuestionado la procedencia de la demanda en esta vía, argumentando que, existirían otras vías procedimentales o procesales para esta misma pretensión y que estas podrían ser igualmente satisfactorias. Señala así que, tratándose de una Resolución Administrativa, de acuerdo a la ley 27444, corresponde a los jueces de la especialidad civil, sub especialidad; Contencioso administrativo, resolver las controversias que versen sobre impugnaciones de Resoluciones administrativas. Sobre este extremo, es preciso tener presente el precedente vinculante dado en los fundamentos jurídicos 12 y 15 del expediente N°02383-2013-PA/TC, de fecha 12 de mayo de 2015, que estableció lo siguiente:</w:t>
      </w:r>
    </w:p>
    <w:p w:rsidR="00000000" w:rsidDel="00000000" w:rsidP="00000000" w:rsidRDefault="00000000" w:rsidRPr="00000000" w14:paraId="0000004E">
      <w:pPr>
        <w:rPr/>
      </w:pPr>
      <w:r w:rsidDel="00000000" w:rsidR="00000000" w:rsidRPr="00000000">
        <w:rPr>
          <w:rtl w:val="0"/>
        </w:rPr>
        <w:t xml:space="preserve">“12. Sistematizando la jurisprudencia vigente de este Tribunal, puede afirmarse que existen dos perspectivas para entender cuándo una vía puede ser considerada "igualmente satisfactoria": una objetiva, vinculada al análisis de la vía propiamente dicha (vía específica idónea); y otra subjetiva, relacionada con el examen de la afectación al derecho invocado (urgencia iusfundamental)”.</w:t>
      </w:r>
    </w:p>
    <w:p w:rsidR="00000000" w:rsidDel="00000000" w:rsidP="00000000" w:rsidRDefault="00000000" w:rsidRPr="00000000" w14:paraId="0000004F">
      <w:pPr>
        <w:rPr/>
      </w:pPr>
      <w:r w:rsidDel="00000000" w:rsidR="00000000" w:rsidRPr="00000000">
        <w:rPr>
          <w:rtl w:val="0"/>
        </w:rPr>
        <w:t xml:space="preserve">“15. Queda claro, entonces, que la vía ordinaria será "igualmente satisfactoria" a la vía del proceso constitucional de amparo, si en un caso concreto se demuestra, de manera copulativa, el cumplimiento de estos elementos:</w:t>
      </w:r>
    </w:p>
    <w:p w:rsidR="00000000" w:rsidDel="00000000" w:rsidP="00000000" w:rsidRDefault="00000000" w:rsidRPr="00000000" w14:paraId="00000050">
      <w:pPr>
        <w:rPr/>
      </w:pPr>
      <w:r w:rsidDel="00000000" w:rsidR="00000000" w:rsidRPr="00000000">
        <w:rPr>
          <w:rtl w:val="0"/>
        </w:rPr>
        <w:t xml:space="preserve">- Que la estructura del proceso es idónea para la tutela del derecho;</w:t>
      </w:r>
    </w:p>
    <w:p w:rsidR="00000000" w:rsidDel="00000000" w:rsidP="00000000" w:rsidRDefault="00000000" w:rsidRPr="00000000" w14:paraId="00000051">
      <w:pPr>
        <w:rPr/>
      </w:pPr>
      <w:r w:rsidDel="00000000" w:rsidR="00000000" w:rsidRPr="00000000">
        <w:rPr>
          <w:rtl w:val="0"/>
        </w:rPr>
        <w:t xml:space="preserve">- Que la resolución que se fuera a emitir podría brindar tutela adecuada;</w:t>
      </w:r>
    </w:p>
    <w:p w:rsidR="00000000" w:rsidDel="00000000" w:rsidP="00000000" w:rsidRDefault="00000000" w:rsidRPr="00000000" w14:paraId="00000052">
      <w:pPr>
        <w:rPr/>
      </w:pPr>
      <w:r w:rsidDel="00000000" w:rsidR="00000000" w:rsidRPr="00000000">
        <w:rPr>
          <w:rtl w:val="0"/>
        </w:rPr>
        <w:t xml:space="preserve">- Que no existe riesgo de que se produzca la irreparabilidad; y</w:t>
      </w:r>
    </w:p>
    <w:p w:rsidR="00000000" w:rsidDel="00000000" w:rsidP="00000000" w:rsidRDefault="00000000" w:rsidRPr="00000000" w14:paraId="00000053">
      <w:pPr>
        <w:rPr/>
      </w:pPr>
      <w:r w:rsidDel="00000000" w:rsidR="00000000" w:rsidRPr="00000000">
        <w:rPr>
          <w:rtl w:val="0"/>
        </w:rPr>
        <w:t xml:space="preserve">- Que no existe necesidad de una tutela urgente derivada de la relevancia del derecho o de la gravedad de las consecuencias. En sentido inverso, la ausencia de cualquiera de estos presupuestos revela que no existe una vía idónea alternativa al amparo, por lo que la vía constitucional quedará habilitada para la emisión de un pronunciamiento de fondo (salvo que se incurra en alguna otra causal de improcedencia).”</w:t>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t xml:space="preserve">22. Visto así, consideramos que si bien puede adecuarse en cuanto a la perspectiva objetiva, la via del proceso contencioso administrativo, debe tenerse en cuenta que la discusión, sobre los derechos de minorías sexuales, sobre los que el derecho nacional ha legislado haciendo consideraciones expresas, que en este caso, las demandantes consideran discriminatorio, así como que implican la inaplicación de normas sustantivas de nuestro ordenamiento legal, es preciso que se tenga en cuenta la perspectiva subjetiva, por lo que esta judicatura, es competente.</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t xml:space="preserve">23. Analizada la Resolución impugnada asimismo, hace referencia a la posibilidad de que sea interpuesta ante un Juzgado de Paz Letrado, como Proceso no Contencioso, considerando que se trata de una Partida de Matrimonio no inscrita en el Consulado Peruano, en el propio país donde se formalizó el matrimonio y se ha solicitado en sede administrativa nacional, vencido el plazo, por lo que de acuerdo al artículo 8263 del Código Procesal Civil, es procedente su trámite para inscripción extemporánea. Sin embargo, está claro que no se trata de una situación ordinaria de simple extemporaneidad de la inscripción, sino que, como la propia Resolución administrativa señala, existe una discusión jurídica, sobre la procedencia de su inscripción por razones sustantivas, relacionadas al sexo de los contrayentes. Esto es que, si bien un Juzgado de Paz Letrado igualmente, está en condiciones de analizar la validez del documento, no será la vía adecuada para la discusión de los derechos fundamentales invocados de carácter constitucional y convencional.</w:t>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t xml:space="preserve">25. El artículo 234 del Código Civil4, (primer párrafo), en efecto, regula que es matrimonio, solo la unión de un varón con una mujer, norma que impide a la autoridad administrativa admitir la solicitud de las demandantes, del mismo modo que habría impedido también al Cónsul Peruano en el país donde se celebró el acto, (Miami, Estados Unidos de Norte América), de modo que, puede considerarse que el hecho de haber recurrido ante el Reniec, por parte de las demandantes, ha sido básicamente un ejercicio procedimental, para demostrar el agotamiento de dicha vía y una demostración fáctica de la imposibilidad de acceder al derecho invocado, así como a la posibilidad de que se realice el debate en relación a los derechos fundamentales involucrados, de acuerdo a la ley peruana. Así, ha señalado la autoridad administrativa, cuando afirma que no es posible hacerse el control difuso en sede administrativa. De este modo, en teoría habría sido posible no recurrir ante el Reniec, como no se recurrió ante el Cónsul Peruano en el extranjero, sabiendo que la respuesta era previsible.</w:t>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t xml:space="preserve">26. Del mismo modo debe observarse que, la afectación del derecho fundamental es permanente, puesto que el ejercicio de la institución matrimonial no es de un solo acto, si bien su celebración se realiza con un acto formal y único. De este modo, consideramos que podría ser debatible, contar el plazo procesal para la prescripción del derecho a interponer la demanda contra la Resolución administrativa impugnada. Sin embargo, habiendo recurrido las demandantes a la sede administrativa,, puede considerarse que se atienen a dicho proceso, en cuanto a los plazos procedimentales. Siendo así, se tiene que las demandantes fueron notificadas con la Resolución impugnada, el 24 de marzo de 2017, (Fs. 05), con la Resolución N° 077-2017/GOR/JR10LIM/RENIEC, e interpusieron la demanda, el 20 de Junio de 2017, a los 57 días hábiles, por lo que puede considerarse, dentro del plazo establecido en el artículo 44° del Código Procesal Constitucional, esto es entendiendo que es la Resolución administrativa impugnada la que habría afectado el derecho fundamental invocado por las demandantes.</w:t>
      </w:r>
    </w:p>
    <w:p w:rsidR="00000000" w:rsidDel="00000000" w:rsidP="00000000" w:rsidRDefault="00000000" w:rsidRPr="00000000" w14:paraId="0000005C">
      <w:pPr>
        <w:rPr/>
      </w:pPr>
      <w:r w:rsidDel="00000000" w:rsidR="00000000" w:rsidRPr="00000000">
        <w:rPr>
          <w:rtl w:val="0"/>
        </w:rPr>
        <w:t xml:space="preserve"> </w:t>
      </w:r>
    </w:p>
    <w:p w:rsidR="00000000" w:rsidDel="00000000" w:rsidP="00000000" w:rsidRDefault="00000000" w:rsidRPr="00000000" w14:paraId="0000005D">
      <w:pPr>
        <w:rPr/>
      </w:pPr>
      <w:r w:rsidDel="00000000" w:rsidR="00000000" w:rsidRPr="00000000">
        <w:rPr>
          <w:rtl w:val="0"/>
        </w:rPr>
        <w:t xml:space="preserve">27. En efecto, debe considerarse que el acto formal de la inscripción registral, puede ser considerado como un acto que afecta los derechos invocados, puesto que, para que surta efecto ante terceros, y ante el Estado Peruano, debe estar inscrito ante la autoridad nacional competente. Si bien las demandantes afirman que, les asiste ya un derecho al haber contraído matrimonio ante una autoridad competente, (extranjera), dicha competencia, alcanza solo a la nación donde fue celebrada y aún cuando en su fuero interno consideren las demandantes que existen derechos y obligaciones entre ambas, ello, es en efecto, el fuero interno y personal, como ocurriría con un matrimonio ante una iglesia, para el caso de las personas creyentes de determinada religión. La Jurisprudencia nacional, ordinaria y Constitucional, reiteradamente ha resuelto en tal sentido. Así en la STC EXP. N.° 0768- 2002-AA/Tribunal Constitucional, el supremo intérprete constitucional, dice:</w:t>
      </w:r>
    </w:p>
    <w:p w:rsidR="00000000" w:rsidDel="00000000" w:rsidP="00000000" w:rsidRDefault="00000000" w:rsidRPr="00000000" w14:paraId="0000005E">
      <w:pPr>
        <w:rPr/>
      </w:pPr>
      <w:r w:rsidDel="00000000" w:rsidR="00000000" w:rsidRPr="00000000">
        <w:rPr>
          <w:rtl w:val="0"/>
        </w:rPr>
        <w:t xml:space="preserve">“3. De acuerdo con las normas precitadas, la validez y eficacia de los actos jurídicos realizados por peruanos residentes en el extranjero se garantizará mediante su inscripción en el libro de registro correspondiente ante el agente consular respectivo. Por consiguiente, el matrimonio civil celebrado entre la accionante y don Luis Reyes Luján sólo tuvo efectos a partir de su inscripción ante el Consulado Peruano en los Estados Unidos, esto es, desde el 17 de setiembre de 1974."</w:t>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t xml:space="preserve">28. De este modo, la negativa de su inscripción, resulta ser una afectación de los derechos invocados, pues no se permite el ejercicio y reconocimiento del acto, ni las consecuencias jurídicas que ello implica.</w:t>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t xml:space="preserve">29. Ello tiene relación además con el argumento de la demandada, en el sentido de que no les asiste en realidad un derecho a las demandantes, que tenga que ser reconocido y que volviendo al estado anterior a su afectación, deba ordenarse conforme a su pretensión, pues</w:t>
      </w:r>
    </w:p>
    <w:p w:rsidR="00000000" w:rsidDel="00000000" w:rsidP="00000000" w:rsidRDefault="00000000" w:rsidRPr="00000000" w14:paraId="00000063">
      <w:pPr>
        <w:rPr/>
      </w:pPr>
      <w:r w:rsidDel="00000000" w:rsidR="00000000" w:rsidRPr="00000000">
        <w:rPr>
          <w:rtl w:val="0"/>
        </w:rPr>
        <w:t xml:space="preserve">que en sede nacional, dicho derecho, no existe. Es decir que siendo que el Código Civil, regula el matrimonio como la unión libre de un varón y una mujer, la pretensión de las demandantes, no está reconocida, no constituye un derecho en sede nacional. Al respecto, es preciso observar el derecho desde los puntos de vista objetivo y subjetivo. Así, se tiene que toda persona tiene derecho a contraer matrimonio, salvo los impedimentos establecidos en la propia ley, (artículos 241 y 242 del CC), lo que corresponde al aspecto subjetivo, es decir que en el caso de las demandantes, les asiste, en principio el derecho a contraer matrimonio, de forma genérica, también al derecho de formar una familia, reconocido por la Constitución y, de acuerdo a las normas internacionales y concretamente del Estado en el que celebraron el Acto matrimonial, ejercieron este derecho, sin embargo, para su inscripción en sede nacional, deben cumplir también con los requisitos y formalidades que la ley nacional exige, tal y como ocurrió en el caso de la sentencia del Tribunal Constitucional, citada líneas atrás y en tal caso, el Código Civil, hace una restricción expresa.</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b w:val="1"/>
        </w:rPr>
      </w:pPr>
      <w:bookmarkStart w:colFirst="0" w:colLast="0" w:name="_heading=h.gjdgxs" w:id="6"/>
      <w:bookmarkEnd w:id="6"/>
      <w:r w:rsidDel="00000000" w:rsidR="00000000" w:rsidRPr="00000000">
        <w:rPr>
          <w:b w:val="1"/>
          <w:rtl w:val="0"/>
        </w:rPr>
        <w:t xml:space="preserve">Continuar página 9/18</w:t>
      </w:r>
    </w:p>
    <w:p w:rsidR="00000000" w:rsidDel="00000000" w:rsidP="00000000" w:rsidRDefault="00000000" w:rsidRPr="00000000" w14:paraId="00000066">
      <w:pPr>
        <w:rPr>
          <w:b w:val="1"/>
        </w:rPr>
      </w:pPr>
      <w:bookmarkStart w:colFirst="0" w:colLast="0" w:name="_heading=h.mhkfvaavxsfd" w:id="7"/>
      <w:bookmarkEnd w:id="7"/>
      <w:r w:rsidDel="00000000" w:rsidR="00000000" w:rsidRPr="00000000">
        <w:rPr>
          <w:rtl w:val="0"/>
        </w:rPr>
      </w:r>
    </w:p>
    <w:p w:rsidR="00000000" w:rsidDel="00000000" w:rsidP="00000000" w:rsidRDefault="00000000" w:rsidRPr="00000000" w14:paraId="00000067">
      <w:pPr>
        <w:rPr>
          <w:b w:val="1"/>
        </w:rPr>
      </w:pPr>
      <w:r w:rsidDel="00000000" w:rsidR="00000000" w:rsidRPr="00000000">
        <w:rPr>
          <w:b w:val="1"/>
          <w:rtl w:val="0"/>
        </w:rPr>
        <w:t xml:space="preserve">Ejemplo de cita narrativa:</w:t>
      </w:r>
      <w:r w:rsidDel="00000000" w:rsidR="00000000" w:rsidRPr="00000000">
        <w:rPr>
          <w:rtl w:val="0"/>
        </w:rPr>
        <w:t xml:space="preserve">  Según la Corte Superior de Justicia de Lima (2019), el proceso de amparo promovido por Susel Ana María Paredes Pique y Gracia María Francisca Aljovín de Losada se centró en la impugnación contra el Registro Nacional de Identificación y Estado Civil y el Ministerio de Justicia.</w:t>
      </w: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tatic.legis.pe/wp-content/uploads/2019/04/Exp.-10776-2017-Legis.pe_.pdf.pdf?fbclid=IwAR065zt_4vonSkd5cPWhNqAJQW-nuEOgxqXp9V-P7mkq5o6kSK5EvLd54d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8I8wFAQZRO6cPTcZNkgcGdQs5w==">CgMxLjAyDmgucG5tdjU5azVsdDY4Mg5oLnF4eHFranlmMjZjazIOaC45bjI0NjlmNGlmbWcyDmgudWhkejFnYjBhZG5vMg5oLjFzdnhqZ3h1ZnhpZjINaC5mZmZqZzRzOTlnYTIIaC5namRneHMyDmgubWhrZnZhYXZ4c2ZkOAByITFaOTR4LWgzLUh4R2hhUmdJZnVUbThURjRObHFGbFJ2SQ==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2019-09-11T17:56:00Z</dcterms:created>
  <dc:creator>Usuario Genérico Base de Datos - Biblioteca</dc:creator>
</cp:coreProperties>
</file>