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Constantino Caycho, R. A. y  Bregaglio Lazarte, R. A. (2020). Un modelo para armar: la regulación de la capacidad jurídica de las personas con discapacidad en el Perú a partir del Decreto Legislativo 1384. Revista Latinoamericana en Discapacidad, Sociedad y Derechos Humanos , 4(1),  pp.32-59.</w:t>
      </w:r>
    </w:p>
    <w:p w:rsidR="00000000" w:rsidDel="00000000" w:rsidP="00000000" w:rsidRDefault="00000000" w:rsidRPr="00000000" w14:paraId="00000002">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hyperlink r:id="rId7">
        <w:r w:rsidDel="00000000" w:rsidR="00000000" w:rsidRPr="00000000">
          <w:rPr>
            <w:rFonts w:ascii="Calibri" w:cs="Calibri" w:eastAsia="Calibri" w:hAnsi="Calibri"/>
            <w:color w:val="1155cc"/>
            <w:sz w:val="22"/>
            <w:szCs w:val="22"/>
            <w:u w:val="single"/>
            <w:rtl w:val="0"/>
          </w:rPr>
          <w:t xml:space="preserve">https://www.researchgate.net/publication/338670059_Un_modelo_para_armar_La_regulacion_de_la_capacidad_juridica_de_las_personas_con_discapacidad_en_el_Peru_a_partir_del_Decreto_Legislativo_1384</w:t>
        </w:r>
      </w:hyperlink>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color w:val="0d0d0d"/>
          <w:sz w:val="22"/>
          <w:szCs w:val="22"/>
          <w:highlight w:val="white"/>
        </w:rPr>
      </w:pPr>
      <w:r w:rsidDel="00000000" w:rsidR="00000000" w:rsidRPr="00000000">
        <w:rPr>
          <w:rFonts w:ascii="Calibri" w:cs="Calibri" w:eastAsia="Calibri" w:hAnsi="Calibri"/>
          <w:b w:val="1"/>
          <w:color w:val="0d0d0d"/>
          <w:sz w:val="22"/>
          <w:szCs w:val="22"/>
          <w:highlight w:val="white"/>
          <w:rtl w:val="0"/>
        </w:rPr>
        <w:t xml:space="preserve">Inicio página 32</w:t>
      </w:r>
    </w:p>
    <w:p w:rsidR="00000000" w:rsidDel="00000000" w:rsidP="00000000" w:rsidRDefault="00000000" w:rsidRPr="00000000" w14:paraId="00000005">
      <w:pPr>
        <w:pStyle w:val="Title"/>
        <w:spacing w:line="360" w:lineRule="auto"/>
        <w:jc w:val="both"/>
        <w:rPr/>
      </w:pPr>
      <w:bookmarkStart w:colFirst="0" w:colLast="0" w:name="_heading=h.f0dysdccynmy" w:id="0"/>
      <w:bookmarkEnd w:id="0"/>
      <w:r w:rsidDel="00000000" w:rsidR="00000000" w:rsidRPr="00000000">
        <w:rPr>
          <w:rtl w:val="0"/>
        </w:rPr>
        <w:t xml:space="preserve">Un modelo para armar: la regulación de la capacidad jurídica de las personas con discapacidad en el Perú a partir del Decreto Legislativo 1384.</w:t>
      </w:r>
    </w:p>
    <w:p w:rsidR="00000000" w:rsidDel="00000000" w:rsidP="00000000" w:rsidRDefault="00000000" w:rsidRPr="00000000" w14:paraId="00000006">
      <w:pPr>
        <w:pBdr>
          <w:top w:space="0" w:sz="0" w:val="nil"/>
          <w:left w:space="0" w:sz="0" w:val="nil"/>
          <w:bottom w:space="0" w:sz="0" w:val="nil"/>
          <w:right w:space="0" w:sz="0" w:val="nil"/>
          <w:between w:space="0" w:sz="0" w:val="nil"/>
        </w:pBdr>
        <w:spacing w:after="162"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Resumen</w:t>
      </w:r>
    </w:p>
    <w:p w:rsidR="00000000" w:rsidDel="00000000" w:rsidP="00000000" w:rsidRDefault="00000000" w:rsidRPr="00000000" w14:paraId="00000007">
      <w:pPr>
        <w:pBdr>
          <w:top w:space="0" w:sz="0" w:val="nil"/>
          <w:left w:space="0" w:sz="0" w:val="nil"/>
          <w:bottom w:space="0" w:sz="0" w:val="nil"/>
          <w:right w:space="0" w:sz="0" w:val="nil"/>
          <w:between w:space="0" w:sz="0" w:val="nil"/>
        </w:pBdr>
        <w:spacing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septiembre de 2018, se reformó el Código Civil peruano para reconocer la capacidad jurídica de las personas con discapacidad. En atención a esta modificatoria, el artículo presenta una revisión general de las principales características de esta modificatoria, a la luz del modelo social de la discapacidad y la Convención sobre los Derechos de las Personas con Discapacidad. El artículo, además, identifica los pasos previos, a nivel legislativo y jurisprudencial, que permitieron a la modificación normativa se materialice, así como los retos aún en los sistemas de apoyo en la toma de decisiones, como son los alcances de las salvaguardias, la responsabilidad civil y la reconfiguración de la voluntad.</w:t>
      </w:r>
    </w:p>
    <w:p w:rsidR="00000000" w:rsidDel="00000000" w:rsidP="00000000" w:rsidRDefault="00000000" w:rsidRPr="00000000" w14:paraId="00000008">
      <w:pPr>
        <w:numPr>
          <w:ilvl w:val="0"/>
          <w:numId w:val="2"/>
        </w:numPr>
        <w:pBdr>
          <w:top w:space="0" w:sz="0" w:val="nil"/>
          <w:left w:space="0" w:sz="0" w:val="nil"/>
          <w:bottom w:space="0" w:sz="0" w:val="nil"/>
          <w:right w:space="0" w:sz="0" w:val="nil"/>
          <w:between w:space="0" w:sz="0" w:val="nil"/>
        </w:pBdr>
        <w:spacing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 INTRODUCCIÓN</w:t>
      </w: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spacing w:after="180"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capacidad jurídica es uno de los elementos básicos del Derecho Privado de raíz romano- germánica. El Derecho Romano planteaba como una de sus máximas que </w:t>
      </w:r>
      <w:r w:rsidDel="00000000" w:rsidR="00000000" w:rsidRPr="00000000">
        <w:rPr>
          <w:rFonts w:ascii="Calibri" w:cs="Calibri" w:eastAsia="Calibri" w:hAnsi="Calibri"/>
          <w:i w:val="1"/>
          <w:sz w:val="22"/>
          <w:szCs w:val="22"/>
          <w:rtl w:val="0"/>
        </w:rPr>
        <w:t xml:space="preserve">"furiosi nulla voluntas est"</w:t>
      </w:r>
      <w:r w:rsidDel="00000000" w:rsidR="00000000" w:rsidRPr="00000000">
        <w:rPr>
          <w:rFonts w:ascii="Calibri" w:cs="Calibri" w:eastAsia="Calibri" w:hAnsi="Calibri"/>
          <w:sz w:val="22"/>
          <w:szCs w:val="22"/>
          <w:rtl w:val="0"/>
        </w:rPr>
        <w:t xml:space="preserve"> que se entendía como que las personas con discapacidad mental no podían consentir válidamente ningún contrato. No obstante, las limitaciones a la capacidad jurídica no estuvieron restringidas solamente a estas personas. Durante años, mujeres, miembros de pueblos indígenas, afrodescendientes y personas pobres pelearon por un igual reconocimiento de su capacidad jurídica en diversos sistemas jurídicos.</w:t>
      </w:r>
      <w:hyperlink w:anchor="bookmark=id.3rdcrjn">
        <w:r w:rsidDel="00000000" w:rsidR="00000000" w:rsidRPr="00000000">
          <w:rPr>
            <w:rFonts w:ascii="Calibri" w:cs="Calibri" w:eastAsia="Calibri" w:hAnsi="Calibri"/>
            <w:sz w:val="22"/>
            <w:szCs w:val="22"/>
            <w:vertAlign w:val="superscript"/>
            <w:rtl w:val="0"/>
          </w:rPr>
          <w:t xml:space="preserve">1</w:t>
        </w:r>
      </w:hyperlink>
      <w:r w:rsidDel="00000000" w:rsidR="00000000" w:rsidRPr="00000000">
        <w:rPr>
          <w:rtl w:val="0"/>
        </w:rPr>
      </w:r>
    </w:p>
    <w:p w:rsidR="00000000" w:rsidDel="00000000" w:rsidP="00000000" w:rsidRDefault="00000000" w:rsidRPr="00000000" w14:paraId="0000000A">
      <w:pPr>
        <w:pBdr>
          <w:top w:space="0" w:sz="0" w:val="nil"/>
          <w:left w:space="0" w:sz="0" w:val="nil"/>
          <w:bottom w:space="0" w:sz="0" w:val="nil"/>
          <w:right w:space="0" w:sz="0" w:val="nil"/>
          <w:between w:space="0" w:sz="0" w:val="nil"/>
        </w:pBdr>
        <w:spacing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Sin embargo, al día de hoy, el gran grupo excluido de ese derecho, en el mundo, siguen siendo las personas con discapacidad mental</w:t>
      </w:r>
      <w:hyperlink w:anchor="bookmark=id.26in1rg">
        <w:r w:rsidDel="00000000" w:rsidR="00000000" w:rsidRPr="00000000">
          <w:rPr>
            <w:rFonts w:ascii="Calibri" w:cs="Calibri" w:eastAsia="Calibri" w:hAnsi="Calibri"/>
            <w:sz w:val="22"/>
            <w:szCs w:val="22"/>
            <w:vertAlign w:val="superscript"/>
            <w:rtl w:val="0"/>
          </w:rPr>
          <w:t xml:space="preserve">2</w:t>
        </w:r>
      </w:hyperlink>
      <w:r w:rsidDel="00000000" w:rsidR="00000000" w:rsidRPr="00000000">
        <w:rPr>
          <w:rFonts w:ascii="Calibri" w:cs="Calibri" w:eastAsia="Calibri" w:hAnsi="Calibri"/>
          <w:sz w:val="22"/>
          <w:szCs w:val="22"/>
          <w:rtl w:val="0"/>
        </w:rPr>
        <w:t xml:space="preserve">, y la institución que materializa esta exclusión es la interdicción, un proceso judicial por el cual se determina la incapacidad de una persona y sus derechos pasan a ser ejercidos por un tercero (curador). No obstante, a partir de la entrada en vigor de la Convención sobre los Derechos de las Personas con Discapacidad (CDPD), concretamente de su artículo 12, dicho esquema se viene cuestionando porque elimina la subjetividad de la persona, anula su autonomía y la deja jurídicamente indefensa. Al no poder ejercer derechos en igualdad de condiciones con el resto, la persona bajo interdicción no es igual persona que el resto de seres humanos.</w:t>
      </w:r>
    </w:p>
    <w:p w:rsidR="00000000" w:rsidDel="00000000" w:rsidP="00000000" w:rsidRDefault="00000000" w:rsidRPr="00000000" w14:paraId="0000000B">
      <w:pPr>
        <w:pBdr>
          <w:top w:space="0" w:sz="0" w:val="nil"/>
          <w:left w:space="0" w:sz="0" w:val="nil"/>
          <w:bottom w:space="0" w:sz="0" w:val="nil"/>
          <w:right w:space="0" w:sz="0" w:val="nil"/>
          <w:between w:space="0" w:sz="0" w:val="nil"/>
        </w:pBdr>
        <w:spacing w:line="360" w:lineRule="auto"/>
        <w:ind w:left="0" w:firstLine="0"/>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33</w:t>
      </w:r>
      <w:r w:rsidDel="00000000" w:rsidR="00000000" w:rsidRPr="00000000">
        <w:rPr>
          <w:rtl w:val="0"/>
        </w:rPr>
      </w:r>
    </w:p>
    <w:p w:rsidR="00000000" w:rsidDel="00000000" w:rsidP="00000000" w:rsidRDefault="00000000" w:rsidRPr="00000000" w14:paraId="0000000C">
      <w:pPr>
        <w:pBdr>
          <w:top w:space="0" w:sz="0" w:val="nil"/>
          <w:left w:space="0" w:sz="0" w:val="nil"/>
          <w:bottom w:space="0" w:sz="0" w:val="nil"/>
          <w:right w:space="0" w:sz="0" w:val="nil"/>
          <w:between w:space="0" w:sz="0" w:val="nil"/>
        </w:pBdr>
        <w:spacing w:after="120"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una forma de cumplir con el mandato establecido en el artículo 12 CDPD en Perú se adoptó el 4 de septiembre de 2018 el Decreto Legislativo 1384, que reformó el Código Civil para reconocer y regular la capacidad jurídica de las personas con discapacidad. Esta reforma se enmarca en una tendencia regional. En el 2015 Argentina sancionó un nuevo Código Civil y Comercial</w:t>
      </w:r>
      <w:hyperlink w:anchor="bookmark=id.lnxbz9">
        <w:r w:rsidDel="00000000" w:rsidR="00000000" w:rsidRPr="00000000">
          <w:rPr>
            <w:rFonts w:ascii="Calibri" w:cs="Calibri" w:eastAsia="Calibri" w:hAnsi="Calibri"/>
            <w:sz w:val="22"/>
            <w:szCs w:val="22"/>
            <w:vertAlign w:val="superscript"/>
            <w:rtl w:val="0"/>
          </w:rPr>
          <w:t xml:space="preserve">3</w:t>
        </w:r>
      </w:hyperlink>
      <w:hyperlink w:anchor="bookmark=id.lnxbz9">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y aunque no eliminó la interdicción, sí limitó severamente la posibilidad de imponer a personas con discapacidad mental. Costa Rica, por su parte, eliminó en el 2016 la interdicción y reguló la figura de los apoyos (aunque en sentido estricto se trata más de normas sobre asistencia personal que sobre apoyos para el ejercicio de la capacidad jurídica).</w:t>
      </w:r>
      <w:hyperlink w:anchor="bookmark=id.35nkun2">
        <w:r w:rsidDel="00000000" w:rsidR="00000000" w:rsidRPr="00000000">
          <w:rPr>
            <w:rFonts w:ascii="Calibri" w:cs="Calibri" w:eastAsia="Calibri" w:hAnsi="Calibri"/>
            <w:sz w:val="22"/>
            <w:szCs w:val="22"/>
            <w:vertAlign w:val="superscript"/>
            <w:rtl w:val="0"/>
          </w:rPr>
          <w:t xml:space="preserve">4</w:t>
        </w:r>
      </w:hyperlink>
      <w:r w:rsidDel="00000000" w:rsidR="00000000" w:rsidRPr="00000000">
        <w:rPr>
          <w:rFonts w:ascii="Calibri" w:cs="Calibri" w:eastAsia="Calibri" w:hAnsi="Calibri"/>
          <w:sz w:val="22"/>
          <w:szCs w:val="22"/>
          <w:rtl w:val="0"/>
        </w:rPr>
        <w:t xml:space="preserve"> De manera más reciente, Colombia ha modificado su normativa para reconocer la capacidad jurídica de personas con discapacidad, estableciendo apoyos y salvaguardias.</w:t>
      </w:r>
      <w:hyperlink w:anchor="bookmark=id.1ksv4uv">
        <w:r w:rsidDel="00000000" w:rsidR="00000000" w:rsidRPr="00000000">
          <w:rPr>
            <w:rFonts w:ascii="Calibri" w:cs="Calibri" w:eastAsia="Calibri" w:hAnsi="Calibri"/>
            <w:sz w:val="22"/>
            <w:szCs w:val="22"/>
            <w:vertAlign w:val="superscript"/>
            <w:rtl w:val="0"/>
          </w:rPr>
          <w:t xml:space="preserve">5</w:t>
        </w:r>
      </w:hyperlink>
      <w:r w:rsidDel="00000000" w:rsidR="00000000" w:rsidRPr="00000000">
        <w:rPr>
          <w:rFonts w:ascii="Calibri" w:cs="Calibri" w:eastAsia="Calibri" w:hAnsi="Calibri"/>
          <w:sz w:val="22"/>
          <w:szCs w:val="22"/>
          <w:rtl w:val="0"/>
        </w:rPr>
        <w:t xml:space="preserve"> Finalmente, se ha presentado en la Cámara de Diputados de Chile una iniciativa legislativa para reconocer la capacidad jurídica de personas con discapacidad.</w:t>
      </w:r>
      <w:hyperlink w:anchor="bookmark=id.44sinio">
        <w:r w:rsidDel="00000000" w:rsidR="00000000" w:rsidRPr="00000000">
          <w:rPr>
            <w:rFonts w:ascii="Calibri" w:cs="Calibri" w:eastAsia="Calibri" w:hAnsi="Calibri"/>
            <w:sz w:val="22"/>
            <w:szCs w:val="22"/>
            <w:vertAlign w:val="superscript"/>
            <w:rtl w:val="0"/>
          </w:rPr>
          <w:t xml:space="preserve">6</w:t>
        </w:r>
      </w:hyperlink>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Frente a tal movilización legislativa, corresponde a la academia y la judicatura responder adecuadamente dando parámetros para una interpretación armoniosa de las normas que respete los derechos de las personas con discapacidad. En esa línea, en el presente artículo analizamos los alcances más importantes de la reforma peruana y las implicancias que tienen para el Derecho Civil clásico.</w:t>
      </w:r>
    </w:p>
    <w:p w:rsidR="00000000" w:rsidDel="00000000" w:rsidP="00000000" w:rsidRDefault="00000000" w:rsidRPr="00000000" w14:paraId="0000000E">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34</w:t>
      </w:r>
      <w:r w:rsidDel="00000000" w:rsidR="00000000" w:rsidRPr="00000000">
        <w:rPr>
          <w:rtl w:val="0"/>
        </w:rPr>
      </w:r>
    </w:p>
    <w:p w:rsidR="00000000" w:rsidDel="00000000" w:rsidP="00000000" w:rsidRDefault="00000000" w:rsidRPr="00000000" w14:paraId="0000000F">
      <w:pPr>
        <w:numPr>
          <w:ilvl w:val="0"/>
          <w:numId w:val="2"/>
        </w:numPr>
        <w:pBdr>
          <w:top w:space="0" w:sz="0" w:val="nil"/>
          <w:left w:space="0" w:sz="0" w:val="nil"/>
          <w:bottom w:space="0" w:sz="0" w:val="nil"/>
          <w:right w:space="0" w:sz="0" w:val="nil"/>
          <w:between w:space="0" w:sz="0" w:val="nil"/>
        </w:pBdr>
        <w:spacing w:after="184"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LA CAPACIDAD JURÍDICA EN LA CONVENCIÓN SOBRE LOS DERECHOS DE LAS PERSONAS CON DISCAPACIDAD</w:t>
      </w: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Actualmente, la discapacidad es asumida por la sociedad como una limitación que impide que una persona sea sujeto activo de derechos.</w:t>
      </w:r>
      <w:hyperlink w:anchor="bookmark=id.z337ya">
        <w:r w:rsidDel="00000000" w:rsidR="00000000" w:rsidRPr="00000000">
          <w:rPr>
            <w:rFonts w:ascii="Calibri" w:cs="Calibri" w:eastAsia="Calibri" w:hAnsi="Calibri"/>
            <w:sz w:val="22"/>
            <w:szCs w:val="22"/>
            <w:vertAlign w:val="superscript"/>
            <w:rtl w:val="0"/>
          </w:rPr>
          <w:t xml:space="preserve">7</w:t>
        </w:r>
      </w:hyperlink>
      <w:r w:rsidDel="00000000" w:rsidR="00000000" w:rsidRPr="00000000">
        <w:rPr>
          <w:rFonts w:ascii="Calibri" w:cs="Calibri" w:eastAsia="Calibri" w:hAnsi="Calibri"/>
          <w:sz w:val="22"/>
          <w:szCs w:val="22"/>
          <w:rtl w:val="0"/>
        </w:rPr>
        <w:t xml:space="preserve"> En el caso específico de la discapacidad mental mayoritariamente se han optado por asumir que estas personas, no están en condiciones de incorporarse a la sociedad como sujeto de derechos, ya sea porque su deficiencia les impide tomar buenas decisiones, o porque son personas peligrosas para la sociedad.</w:t>
      </w:r>
    </w:p>
    <w:p w:rsidR="00000000" w:rsidDel="00000000" w:rsidP="00000000" w:rsidRDefault="00000000" w:rsidRPr="00000000" w14:paraId="00000011">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resultado de esta asunción, las personas con discapacidad mental no han sido consideradas “sujetos de Derecho”, sino “objeto de protección”. La interdicción en el Derecho Civil, donde estas personas son despojadas de su subjetividad activa (o capacidad de ejercicio en el Derecho Civil peruano) para ejercer derechos, designándose un curador que tomara decisiones en su nombre; es prueba de ello. Se produce así una sustitución de la voluntad donde la persona con discapacidad no solo no tiene la posibilidad de ser parte del proceso de toma de decisiones sobre su vida, sino que ni siquiera tiene la posibilidad de opinar respecto de quién sería la persona llamada a ejercer su curatela.</w:t>
      </w:r>
    </w:p>
    <w:p w:rsidR="00000000" w:rsidDel="00000000" w:rsidP="00000000" w:rsidRDefault="00000000" w:rsidRPr="00000000" w14:paraId="00000012">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Este modelo de sustitución de la voluntad se vio modificado desde el Derecho Internacional de los Derechos Humanos por la introducción del modelo social de la discapacidad, plasmado en la CDPD.</w:t>
      </w:r>
      <w:hyperlink w:anchor="bookmark=id.3j2qqm3">
        <w:r w:rsidDel="00000000" w:rsidR="00000000" w:rsidRPr="00000000">
          <w:rPr>
            <w:rFonts w:ascii="Calibri" w:cs="Calibri" w:eastAsia="Calibri" w:hAnsi="Calibri"/>
            <w:sz w:val="22"/>
            <w:szCs w:val="22"/>
            <w:vertAlign w:val="superscript"/>
            <w:rtl w:val="0"/>
          </w:rPr>
          <w:t xml:space="preserve">8</w:t>
        </w:r>
      </w:hyperlink>
      <w:r w:rsidDel="00000000" w:rsidR="00000000" w:rsidRPr="00000000">
        <w:rPr>
          <w:rFonts w:ascii="Calibri" w:cs="Calibri" w:eastAsia="Calibri" w:hAnsi="Calibri"/>
          <w:sz w:val="22"/>
          <w:szCs w:val="22"/>
          <w:rtl w:val="0"/>
        </w:rPr>
        <w:t xml:space="preserve"> Este modelo, diferencia deficiencia (lo biológico) de discapacidad (lo social). Como consecuencia, la discapacidad no es una condición estática que radique en la persona, sino un constructo social móvil que surge de la interacción entre la deficiencia de la persona y las barreras que establece la sociedad (se estará o no en situación de discapacidad en función de la existencia de estas barreras).</w:t>
      </w:r>
    </w:p>
    <w:p w:rsidR="00000000" w:rsidDel="00000000" w:rsidP="00000000" w:rsidRDefault="00000000" w:rsidRPr="00000000" w14:paraId="00000013">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color w:val="0d0d0d"/>
          <w:sz w:val="22"/>
          <w:szCs w:val="22"/>
          <w:highlight w:val="white"/>
        </w:rPr>
      </w:pPr>
      <w:r w:rsidDel="00000000" w:rsidR="00000000" w:rsidRPr="00000000">
        <w:rPr>
          <w:rFonts w:ascii="Calibri" w:cs="Calibri" w:eastAsia="Calibri" w:hAnsi="Calibri"/>
          <w:b w:val="1"/>
          <w:color w:val="0d0d0d"/>
          <w:sz w:val="22"/>
          <w:szCs w:val="22"/>
          <w:highlight w:val="white"/>
          <w:rtl w:val="0"/>
        </w:rPr>
        <w:t xml:space="preserve">Inicio página 35</w:t>
      </w:r>
    </w:p>
    <w:p w:rsidR="00000000" w:rsidDel="00000000" w:rsidP="00000000" w:rsidRDefault="00000000" w:rsidRPr="00000000" w14:paraId="0000001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En ese sentido, la posibilidad de que las personas con discapacidad mental sean incluidas en la sociedad y puedan disfrutar de sus derechos es responsabilidad del Estado y la sociedad, no de la propia persona. La inclusión se logra mediante la superación y eliminación de esas barreras.</w:t>
      </w:r>
    </w:p>
    <w:p w:rsidR="00000000" w:rsidDel="00000000" w:rsidP="00000000" w:rsidRDefault="00000000" w:rsidRPr="00000000" w14:paraId="00000015">
      <w:pPr>
        <w:numPr>
          <w:ilvl w:val="1"/>
          <w:numId w:val="2"/>
        </w:numPr>
        <w:pBdr>
          <w:top w:space="0" w:sz="0" w:val="nil"/>
          <w:left w:space="0" w:sz="0" w:val="nil"/>
          <w:bottom w:space="0" w:sz="0" w:val="nil"/>
          <w:right w:space="0" w:sz="0" w:val="nil"/>
          <w:between w:space="0" w:sz="0" w:val="nil"/>
        </w:pBdr>
        <w:spacing w:after="162"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 Capacidad jurídica: Concepto discutido</w:t>
      </w: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esa línea, uno de los aspectos más revolucionarios y cuestionado(re)s de la CDPD y del modelo social es el reconocimiento de igual capacidad jurídica para todas las personas con discapacidad, incluso aquellas con discapacidad mental, establecido en el artículo 12. Dicha norma, además de establecer que las personas con discapacidad tienen capacidad jurídica, en igualdad de condiciones con los demás, en todos los aspectos de la vida, dispone la necesidad de contar con apoyos para la toma de decisiones, y salvaguardias para impedir abusos.</w:t>
      </w:r>
    </w:p>
    <w:p w:rsidR="00000000" w:rsidDel="00000000" w:rsidP="00000000" w:rsidRDefault="00000000" w:rsidRPr="00000000" w14:paraId="00000017">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36</w:t>
      </w:r>
      <w:r w:rsidDel="00000000" w:rsidR="00000000" w:rsidRPr="00000000">
        <w:rPr>
          <w:rtl w:val="0"/>
        </w:rPr>
      </w:r>
    </w:p>
    <w:p w:rsidR="00000000" w:rsidDel="00000000" w:rsidP="00000000" w:rsidRDefault="00000000" w:rsidRPr="00000000" w14:paraId="00000018">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 obstante, la mayor parte del debate sobre la interpretación y aplicación del artículo 12 de la CDPD ha sido escrito en inglés y cuando se habla de la implementación, usualmente los textos se refieren a países del Norte Global.</w:t>
      </w:r>
      <w:hyperlink w:anchor="bookmark=id.4i7ojhp">
        <w:r w:rsidDel="00000000" w:rsidR="00000000" w:rsidRPr="00000000">
          <w:rPr>
            <w:rFonts w:ascii="Calibri" w:cs="Calibri" w:eastAsia="Calibri" w:hAnsi="Calibri"/>
            <w:sz w:val="22"/>
            <w:szCs w:val="22"/>
            <w:vertAlign w:val="superscript"/>
            <w:rtl w:val="0"/>
          </w:rPr>
          <w:t xml:space="preserve">9</w:t>
        </w:r>
      </w:hyperlink>
      <w:hyperlink w:anchor="bookmark=id.4i7ojhp">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Esto, de acuerdo con Dhanda, hace particularmente complicado que los países del Sur Global puedan iniciar procesos de reforma puesto que los legisladores siempre utilizarán la excusa de que "los recursos disponibles en países del Primer Mundo no se encuentran" en estos países y, por tanto, las reformas no pueden ser implementadas en nuestros Estados.</w:t>
      </w:r>
      <w:hyperlink w:anchor="bookmark=id.2xcytpi">
        <w:r w:rsidDel="00000000" w:rsidR="00000000" w:rsidRPr="00000000">
          <w:rPr>
            <w:rFonts w:ascii="Calibri" w:cs="Calibri" w:eastAsia="Calibri" w:hAnsi="Calibri"/>
            <w:sz w:val="22"/>
            <w:szCs w:val="22"/>
            <w:vertAlign w:val="superscript"/>
            <w:rtl w:val="0"/>
          </w:rPr>
          <w:t xml:space="preserve">10</w:t>
        </w:r>
      </w:hyperlink>
      <w:hyperlink w:anchor="bookmark=id.2xcytpi">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Dicho esto, creemos que es necesario hacer esfuerzos por trasladar dichos debates a nuestras jurisdicciones y a nuestro Derecho, teniendo en cuenta las particularidades y diferencias que tiene el sistema romano germánico con respecto al anglosajón.</w:t>
      </w:r>
      <w:hyperlink w:anchor="bookmark=id.1ci93xb">
        <w:r w:rsidDel="00000000" w:rsidR="00000000" w:rsidRPr="00000000">
          <w:rPr>
            <w:rFonts w:ascii="Calibri" w:cs="Calibri" w:eastAsia="Calibri" w:hAnsi="Calibri"/>
            <w:sz w:val="22"/>
            <w:szCs w:val="22"/>
            <w:vertAlign w:val="superscript"/>
            <w:rtl w:val="0"/>
          </w:rPr>
          <w:t xml:space="preserve">11</w:t>
        </w:r>
      </w:hyperlink>
      <w:r w:rsidDel="00000000" w:rsidR="00000000" w:rsidRPr="00000000">
        <w:rPr>
          <w:rtl w:val="0"/>
        </w:rPr>
      </w:r>
    </w:p>
    <w:p w:rsidR="00000000" w:rsidDel="00000000" w:rsidP="00000000" w:rsidRDefault="00000000" w:rsidRPr="00000000" w14:paraId="00000019">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artículo 12 se compone de cinco incisos que pueden ser identificados de la siguiente manera: i) igual personalidad jurídica; ii) igual capacidad jurídica; iii) provisión de apoyos; iv) establecimiento de salvaguardias; y v) la reiteración de los derechos a contratar, heredar y ser propietario.</w:t>
      </w:r>
      <w:hyperlink w:anchor="bookmark=id.3whwml4">
        <w:r w:rsidDel="00000000" w:rsidR="00000000" w:rsidRPr="00000000">
          <w:rPr>
            <w:rFonts w:ascii="Calibri" w:cs="Calibri" w:eastAsia="Calibri" w:hAnsi="Calibri"/>
            <w:sz w:val="22"/>
            <w:szCs w:val="22"/>
            <w:vertAlign w:val="superscript"/>
            <w:rtl w:val="0"/>
          </w:rPr>
          <w:t xml:space="preserve">12</w:t>
        </w:r>
      </w:hyperlink>
      <w:r w:rsidDel="00000000" w:rsidR="00000000" w:rsidRPr="00000000">
        <w:rPr>
          <w:rFonts w:ascii="Calibri" w:cs="Calibri" w:eastAsia="Calibri" w:hAnsi="Calibri"/>
          <w:sz w:val="22"/>
          <w:szCs w:val="22"/>
          <w:rtl w:val="0"/>
        </w:rPr>
        <w:t xml:space="preserve"> Con respecto a la personalidad jurídica existe muy poco debate pues este derecho</w:t>
      </w:r>
    </w:p>
    <w:p w:rsidR="00000000" w:rsidDel="00000000" w:rsidP="00000000" w:rsidRDefault="00000000" w:rsidRPr="00000000" w14:paraId="0000001A">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0d0d0d"/>
          <w:sz w:val="22"/>
          <w:szCs w:val="22"/>
          <w:highlight w:val="white"/>
          <w:rtl w:val="0"/>
        </w:rPr>
        <w:t xml:space="preserve">Inicio página 37</w:t>
      </w:r>
      <w:r w:rsidDel="00000000" w:rsidR="00000000" w:rsidRPr="00000000">
        <w:rPr>
          <w:rtl w:val="0"/>
        </w:rPr>
      </w:r>
    </w:p>
    <w:p w:rsidR="00000000" w:rsidDel="00000000" w:rsidP="00000000" w:rsidRDefault="00000000" w:rsidRPr="00000000" w14:paraId="0000001B">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ya se encontraba reconocido con efectos generales en el artículo 3 de la Convención Americana sobre Derechos Humanos, y no suelen haber legislaciones que excluyan de la posibilidad de ser titulares de derechos a las personas con discapacidad.</w:t>
      </w:r>
      <w:r w:rsidDel="00000000" w:rsidR="00000000" w:rsidRPr="00000000">
        <w:rPr>
          <w:rFonts w:ascii="Calibri" w:cs="Calibri" w:eastAsia="Calibri" w:hAnsi="Calibri"/>
          <w:sz w:val="22"/>
          <w:szCs w:val="22"/>
          <w:vertAlign w:val="superscript"/>
          <w:rtl w:val="0"/>
        </w:rPr>
        <w:t xml:space="preserve">* </w:t>
      </w:r>
      <w:hyperlink w:anchor="bookmark=id.2bn6wsx">
        <w:r w:rsidDel="00000000" w:rsidR="00000000" w:rsidRPr="00000000">
          <w:rPr>
            <w:rFonts w:ascii="Calibri" w:cs="Calibri" w:eastAsia="Calibri" w:hAnsi="Calibri"/>
            <w:sz w:val="22"/>
            <w:szCs w:val="22"/>
            <w:vertAlign w:val="superscript"/>
            <w:rtl w:val="0"/>
          </w:rPr>
          <w:t xml:space="preserve">13</w:t>
        </w:r>
      </w:hyperlink>
      <w:r w:rsidDel="00000000" w:rsidR="00000000" w:rsidRPr="00000000">
        <w:rPr>
          <w:rFonts w:ascii="Calibri" w:cs="Calibri" w:eastAsia="Calibri" w:hAnsi="Calibri"/>
          <w:sz w:val="22"/>
          <w:szCs w:val="22"/>
          <w:vertAlign w:val="superscript"/>
          <w:rtl w:val="0"/>
        </w:rPr>
        <w:t xml:space="preserve"> 14 15</w:t>
      </w:r>
      <w:r w:rsidDel="00000000" w:rsidR="00000000" w:rsidRPr="00000000">
        <w:rPr>
          <w:rFonts w:ascii="Calibri" w:cs="Calibri" w:eastAsia="Calibri" w:hAnsi="Calibri"/>
          <w:sz w:val="22"/>
          <w:szCs w:val="22"/>
          <w:rtl w:val="0"/>
        </w:rPr>
        <w:t xml:space="preserve"> La verdadera novedad se encuentra en el reconocimiento de la capacidad jurídica (“legal capacity”) de las personas con discapacidad. Ello fue bastante combatido durante las negociaciones. Varios Estados, deseaban que se explicitara que la capacidad jurídica debía entenderse únicamente como "capacidad de goce" (capacity for rights) y no como "capacidad de ejercicio" (capacity to act),</w:t>
      </w:r>
      <w:hyperlink w:anchor="bookmark=id.qsh70q">
        <w:r w:rsidDel="00000000" w:rsidR="00000000" w:rsidRPr="00000000">
          <w:rPr>
            <w:rFonts w:ascii="Calibri" w:cs="Calibri" w:eastAsia="Calibri" w:hAnsi="Calibri"/>
            <w:sz w:val="22"/>
            <w:szCs w:val="22"/>
            <w:vertAlign w:val="superscript"/>
            <w:rtl w:val="0"/>
          </w:rPr>
          <w:t xml:space="preserve">14</w:t>
        </w:r>
      </w:hyperlink>
      <w:hyperlink w:anchor="bookmark=id.3as4poj">
        <w:r w:rsidDel="00000000" w:rsidR="00000000" w:rsidRPr="00000000">
          <w:rPr>
            <w:rFonts w:ascii="Calibri" w:cs="Calibri" w:eastAsia="Calibri" w:hAnsi="Calibri"/>
            <w:sz w:val="22"/>
            <w:szCs w:val="22"/>
            <w:vertAlign w:val="superscript"/>
            <w:rtl w:val="0"/>
          </w:rPr>
          <w:t xml:space="preserve">15</w:t>
        </w:r>
      </w:hyperlink>
      <w:r w:rsidDel="00000000" w:rsidR="00000000" w:rsidRPr="00000000">
        <w:rPr>
          <w:rFonts w:ascii="Calibri" w:cs="Calibri" w:eastAsia="Calibri" w:hAnsi="Calibri"/>
          <w:sz w:val="22"/>
          <w:szCs w:val="22"/>
          <w:rtl w:val="0"/>
        </w:rPr>
        <w:t xml:space="preserve"> e incluso con el texto ya aprobado, como ha señalado Minkowitz, sólo analizando las lenguas oficiales de Naciones Unidas es posible encontrar sustanciales diferencias entre los términos. Así, mientras que en inglés, “legal capacity” hace referencia a la capacidad de ejercicio, la traducción al árabe es “ahlia al qanounia,”, término que incorpora tanto la capacidad de goce como de ejercicio. Por su parte, en chino, la traducción es “falv quanli nengli,”, que significa capacidad de goce; mientras que en el francés “capacité juridique” significa capacidad de ejercicio. En ruso, dicho término se traduce como “pravosposobnost” que hace referencia a la capacidad de goce.</w:t>
      </w:r>
      <w:hyperlink w:anchor="bookmark=id.49x2ik5">
        <w:r w:rsidDel="00000000" w:rsidR="00000000" w:rsidRPr="00000000">
          <w:rPr>
            <w:rFonts w:ascii="Calibri" w:cs="Calibri" w:eastAsia="Calibri" w:hAnsi="Calibri"/>
            <w:sz w:val="22"/>
            <w:szCs w:val="22"/>
            <w:vertAlign w:val="superscript"/>
            <w:rtl w:val="0"/>
          </w:rPr>
          <w:t xml:space="preserve">16</w:t>
        </w:r>
      </w:hyperlink>
      <w:r w:rsidDel="00000000" w:rsidR="00000000" w:rsidRPr="00000000">
        <w:rPr>
          <w:rFonts w:ascii="Calibri" w:cs="Calibri" w:eastAsia="Calibri" w:hAnsi="Calibri"/>
          <w:sz w:val="22"/>
          <w:szCs w:val="22"/>
          <w:rtl w:val="0"/>
        </w:rPr>
        <w:t xml:space="preserve"> Quizás esta sea la razón por la que doce Estados han reservado el artículo 12 o han formulado declaraciones interpretativas, orientadas a precisar los alcances de la norma en relación con la posibilidad de aplicar restricciones a la capacidad jurídica.</w:t>
      </w:r>
      <w:hyperlink w:anchor="bookmark=id.2p2csry">
        <w:r w:rsidDel="00000000" w:rsidR="00000000" w:rsidRPr="00000000">
          <w:rPr>
            <w:rFonts w:ascii="Calibri" w:cs="Calibri" w:eastAsia="Calibri" w:hAnsi="Calibri"/>
            <w:sz w:val="22"/>
            <w:szCs w:val="22"/>
            <w:vertAlign w:val="superscript"/>
            <w:rtl w:val="0"/>
          </w:rPr>
          <w:t xml:space="preserve">17</w:t>
        </w:r>
      </w:hyperlink>
      <w:r w:rsidDel="00000000" w:rsidR="00000000" w:rsidRPr="00000000">
        <w:rPr>
          <w:rtl w:val="0"/>
        </w:rPr>
      </w:r>
    </w:p>
    <w:p w:rsidR="00000000" w:rsidDel="00000000" w:rsidP="00000000" w:rsidRDefault="00000000" w:rsidRPr="00000000" w14:paraId="0000001C">
      <w:pPr>
        <w:pBdr>
          <w:top w:space="0" w:sz="0" w:val="nil"/>
          <w:left w:space="0" w:sz="0" w:val="nil"/>
          <w:bottom w:space="0" w:sz="0" w:val="nil"/>
          <w:right w:space="0" w:sz="0" w:val="nil"/>
          <w:between w:space="0" w:sz="0" w:val="nil"/>
        </w:pBdr>
        <w:spacing w:after="326"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 obstante, más allá de las diferencias lingüísticas e interpretativas, el Comité de Personas con Discapacidad (Comité PCD) ratificó la posición de que capacidad jurídica debía entenderse como capacidad de ejercicio en su Observación General 1 en el año 2016, y señaló que la discapacidad no podía ser motivo para denegar la capacidad jurídica. En dicho documento el Comité PCD también analizó dos aspectos vinculados al ejercicio de capacidad jurídica que generan nuevos problemas interpretativos: la imposibilidad de restringir capacidad jurídica bajo ningún método, y los elementos que configuran un sistema de sustitución de la voluntad. A ellos nos referiremos a continuación.</w:t>
      </w:r>
    </w:p>
    <w:p w:rsidR="00000000" w:rsidDel="00000000" w:rsidP="00000000" w:rsidRDefault="00000000" w:rsidRPr="00000000" w14:paraId="0000001D">
      <w:pPr>
        <w:pBdr>
          <w:top w:space="0" w:sz="0" w:val="nil"/>
          <w:left w:space="0" w:sz="0" w:val="nil"/>
          <w:bottom w:space="0" w:sz="0" w:val="nil"/>
          <w:right w:space="0" w:sz="0" w:val="nil"/>
          <w:between w:space="0" w:sz="0" w:val="nil"/>
        </w:pBdr>
        <w:spacing w:after="326"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38</w:t>
      </w:r>
      <w:r w:rsidDel="00000000" w:rsidR="00000000" w:rsidRPr="00000000">
        <w:rPr>
          <w:rtl w:val="0"/>
        </w:rPr>
      </w:r>
    </w:p>
    <w:p w:rsidR="00000000" w:rsidDel="00000000" w:rsidP="00000000" w:rsidRDefault="00000000" w:rsidRPr="00000000" w14:paraId="0000001E">
      <w:pPr>
        <w:numPr>
          <w:ilvl w:val="1"/>
          <w:numId w:val="2"/>
        </w:numPr>
        <w:pBdr>
          <w:top w:space="0" w:sz="0" w:val="nil"/>
          <w:left w:space="0" w:sz="0" w:val="nil"/>
          <w:bottom w:space="0" w:sz="0" w:val="nil"/>
          <w:right w:space="0" w:sz="0" w:val="nil"/>
          <w:between w:space="0" w:sz="0" w:val="nil"/>
        </w:pBdr>
        <w:spacing w:after="162"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 La Observación General 1 y su interpretación del artículo 12</w:t>
      </w:r>
      <w:r w:rsidDel="00000000" w:rsidR="00000000" w:rsidRPr="00000000">
        <w:rPr>
          <w:rtl w:val="0"/>
        </w:rPr>
      </w:r>
    </w:p>
    <w:p w:rsidR="00000000" w:rsidDel="00000000" w:rsidP="00000000" w:rsidRDefault="00000000" w:rsidRPr="00000000" w14:paraId="0000001F">
      <w:pPr>
        <w:pBdr>
          <w:top w:space="0" w:sz="0" w:val="nil"/>
          <w:left w:space="0" w:sz="0" w:val="nil"/>
          <w:bottom w:space="0" w:sz="0" w:val="nil"/>
          <w:right w:space="0" w:sz="0" w:val="nil"/>
          <w:between w:space="0" w:sz="0" w:val="nil"/>
        </w:pBdr>
        <w:spacing w:after="180"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se observa en la Tabla 1, el Comité PCD eliminó la posibilidad de restringir capacidad jurídica por enfoque de estatus (aquel que permitía restringir capacidad de ejercicio por el diagnóstico de una persona, es decir, por tener diagnóstico de esquizofrenia por ejemplo) o por enfoque de resultado - aquel que permitía restringir capacidad de ejercicio en base a si la decisión adoptada por la persona con discapacidad se reputaba como más adecuada en cierta condición</w:t>
      </w:r>
      <w:hyperlink w:anchor="bookmark=id.147n2zr">
        <w:r w:rsidDel="00000000" w:rsidR="00000000" w:rsidRPr="00000000">
          <w:rPr>
            <w:rFonts w:ascii="Calibri" w:cs="Calibri" w:eastAsia="Calibri" w:hAnsi="Calibri"/>
            <w:sz w:val="22"/>
            <w:szCs w:val="22"/>
            <w:vertAlign w:val="superscript"/>
            <w:rtl w:val="0"/>
          </w:rPr>
          <w:t xml:space="preserve">18</w:t>
        </w:r>
      </w:hyperlink>
      <w:r w:rsidDel="00000000" w:rsidR="00000000" w:rsidRPr="00000000">
        <w:rPr>
          <w:rFonts w:ascii="Calibri" w:cs="Calibri" w:eastAsia="Calibri" w:hAnsi="Calibri"/>
          <w:sz w:val="22"/>
          <w:szCs w:val="22"/>
          <w:vertAlign w:val="superscript"/>
          <w:rtl w:val="0"/>
        </w:rPr>
        <w:t xml:space="preserve"> </w:t>
      </w:r>
      <w:r w:rsidDel="00000000" w:rsidR="00000000" w:rsidRPr="00000000">
        <w:rPr>
          <w:rFonts w:ascii="Calibri" w:cs="Calibri" w:eastAsia="Calibri" w:hAnsi="Calibri"/>
          <w:sz w:val="22"/>
          <w:szCs w:val="22"/>
          <w:rtl w:val="0"/>
        </w:rPr>
        <w:t xml:space="preserve">- por ejemplo, si una persona con Síndrome Down con un cáncer agresivo decidía someterse a una operación que los médicos recomendaban, no se cuestionaba su capacidad jurídica, pero, si decidía no operarse, su capacidad jurídica era restringida.</w:t>
      </w:r>
    </w:p>
    <w:p w:rsidR="00000000" w:rsidDel="00000000" w:rsidP="00000000" w:rsidRDefault="00000000" w:rsidRPr="00000000" w14:paraId="00000020">
      <w:pPr>
        <w:pBdr>
          <w:top w:space="0" w:sz="0" w:val="nil"/>
          <w:left w:space="0" w:sz="0" w:val="nil"/>
          <w:bottom w:space="0" w:sz="0" w:val="nil"/>
          <w:right w:space="0" w:sz="0" w:val="nil"/>
          <w:between w:space="0" w:sz="0" w:val="nil"/>
        </w:pBdr>
        <w:spacing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Además, analizó la validez del enfoque funcional, es decir aquel que reconocía capacidad jurídica si es que se podía probar que la persona efectivamente tenía las capacidades mentales para realizar dicho acto jurídico. En el Borrador se señaló que ese enfoque podía atentar contra el artículo 12 si es que "era discriminatorio o afectaba desproporcionadamente el derecho de las personas con discapacidad a la igualdad ante la ley".</w:t>
      </w:r>
      <w:hyperlink w:anchor="bookmark=id.23ckvvd">
        <w:r w:rsidDel="00000000" w:rsidR="00000000" w:rsidRPr="00000000">
          <w:rPr>
            <w:rFonts w:ascii="Calibri" w:cs="Calibri" w:eastAsia="Calibri" w:hAnsi="Calibri"/>
            <w:sz w:val="22"/>
            <w:szCs w:val="22"/>
            <w:vertAlign w:val="superscript"/>
            <w:rtl w:val="0"/>
          </w:rPr>
          <w:t xml:space="preserve">19</w:t>
        </w:r>
      </w:hyperlink>
      <w:hyperlink w:anchor="bookmark=id.23ckvvd">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Algunos de los aportes al Borrador plantearon la necesidad de clarificar qué se entendía por "afectación desproporcional" (Series, 2014) pero el Comité, en su versión final, prefirió proscribir el enfoque funcional por dos razones: por ser “aplicado de manera discriminatoria a personas con discapacidad”.</w:t>
      </w:r>
      <w:hyperlink w:anchor="bookmark=id.ihv636">
        <w:r w:rsidDel="00000000" w:rsidR="00000000" w:rsidRPr="00000000">
          <w:rPr>
            <w:rFonts w:ascii="Calibri" w:cs="Calibri" w:eastAsia="Calibri" w:hAnsi="Calibri"/>
            <w:sz w:val="22"/>
            <w:szCs w:val="22"/>
            <w:vertAlign w:val="superscript"/>
            <w:rtl w:val="0"/>
          </w:rPr>
          <w:t xml:space="preserve">20</w:t>
        </w:r>
      </w:hyperlink>
      <w:hyperlink w:anchor="bookmark=id.ihv636">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y por presumir que “es posible evaluar el proceso interno de toma de decisiones de la mente humana y, si la persona no pasa la evaluación, se le niega un derecho humano básico - el derecho a la igualdad ante la ley".</w:t>
      </w:r>
      <w:hyperlink w:anchor="bookmark=id.32hioqz">
        <w:r w:rsidDel="00000000" w:rsidR="00000000" w:rsidRPr="00000000">
          <w:rPr>
            <w:rFonts w:ascii="Calibri" w:cs="Calibri" w:eastAsia="Calibri" w:hAnsi="Calibri"/>
            <w:sz w:val="22"/>
            <w:szCs w:val="22"/>
            <w:vertAlign w:val="superscript"/>
            <w:rtl w:val="0"/>
          </w:rPr>
          <w:t xml:space="preserve">21</w:t>
        </w:r>
      </w:hyperlink>
      <w:r w:rsidDel="00000000" w:rsidR="00000000" w:rsidRPr="00000000">
        <w:rPr>
          <w:rtl w:val="0"/>
        </w:rPr>
      </w:r>
    </w:p>
    <w:p w:rsidR="00000000" w:rsidDel="00000000" w:rsidP="00000000" w:rsidRDefault="00000000" w:rsidRPr="00000000" w14:paraId="00000021">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39</w:t>
      </w:r>
      <w:r w:rsidDel="00000000" w:rsidR="00000000" w:rsidRPr="00000000">
        <w:rPr>
          <w:rtl w:val="0"/>
        </w:rPr>
      </w:r>
    </w:p>
    <w:p w:rsidR="00000000" w:rsidDel="00000000" w:rsidP="00000000" w:rsidRDefault="00000000" w:rsidRPr="00000000" w14:paraId="00000022">
      <w:pPr>
        <w:pBdr>
          <w:top w:space="0" w:sz="0" w:val="nil"/>
          <w:left w:space="0" w:sz="0" w:val="nil"/>
          <w:bottom w:space="0" w:sz="0" w:val="nil"/>
          <w:right w:space="0" w:sz="0" w:val="nil"/>
          <w:between w:space="0" w:sz="0" w:val="nil"/>
        </w:pBdr>
        <w:spacing w:after="140"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Tabla 1: Postura del Comité CDPD sobre métodos para la limitación de la capacidad jurídica</w:t>
      </w:r>
    </w:p>
    <w:p w:rsidR="00000000" w:rsidDel="00000000" w:rsidP="00000000" w:rsidRDefault="00000000" w:rsidRPr="00000000" w14:paraId="00000023">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2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Tabla 1 presenta la postura del Comité sobre los Derechos de las Personas con Discapacidad (CDPD) en relación con diversos métodos utilizados para limitar la capacidad jurídica. La tabla examina tres enfoques diferentes, proporcionando una visión crítica de cada uno en términos de método, instrumento de medición, los actores involucrados y la opinión del Comité sobre su aplicabilidad y ética.</w:t>
      </w:r>
    </w:p>
    <w:p w:rsidR="00000000" w:rsidDel="00000000" w:rsidP="00000000" w:rsidRDefault="00000000" w:rsidRPr="00000000" w14:paraId="00000025">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6">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primer enfoque, conocido como el enfoque de la condición o "status approach", se basa en el diagnóstico de deficiencia. Este método emplea opiniones médicas proporcionadas por médicos y psiquiatras para determinar la capacidad jurídica de una persona. Sin embargo, el Comité CDPD considera que este enfoque es discriminatorio. La razón principal es que se fundamenta en una opinión médica, lo cual puede perpetuar prejuicios y estigmatización hacia las personas con discapacidad. Este enfoque no toma en cuenta la capacidad de la persona para tomar decisiones por sí misma, sino que se basa en una evaluación externa de su condición de salud.</w:t>
      </w:r>
    </w:p>
    <w:p w:rsidR="00000000" w:rsidDel="00000000" w:rsidP="00000000" w:rsidRDefault="00000000" w:rsidRPr="00000000" w14:paraId="00000027">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8">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segundo enfoque, conocido como el enfoque del resultado o "outcome approach", se fundamenta en la opinión de la mayoría. En este caso, cualquier operador puede tomar decisiones basadas en el consenso o la opinión predominante. El Comité CDPD también encuentra este enfoque discriminatorio porque no respeta la voluntad de la persona con discapacidad. En lugar de considerar los deseos y la autonomía de la persona, este método impone decisiones basadas en el criterio de otros, lo cual puede resultar en una negación de los derechos individuales.</w:t>
      </w:r>
    </w:p>
    <w:p w:rsidR="00000000" w:rsidDel="00000000" w:rsidP="00000000" w:rsidRDefault="00000000" w:rsidRPr="00000000" w14:paraId="00000029">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A">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tercer enfoque es el enfoque funcional o "functional approach", que utiliza la evaluación del entendimiento como instrumento de medición. Psicólogos y trabajadores sociales son los actores principales que realizan estas evaluaciones. A pesar de parecer más inclusivo, el Comité CDPD lo considera igualmente discriminatorio. Este enfoque establece un parámetro de "normalidad" en la toma de decisiones y asume que es posible evaluar el funcionamiento de la mente humana de manera objetiva. Esto no solo puede ser perjudicial y limitante, sino que también puede ignorar la diversidad de formas en que las personas con discapacidad pueden tomar decisiones.</w:t>
      </w:r>
    </w:p>
    <w:p w:rsidR="00000000" w:rsidDel="00000000" w:rsidP="00000000" w:rsidRDefault="00000000" w:rsidRPr="00000000" w14:paraId="0000002B">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C">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conclusión, el Comité CDPD encuentra que los tres métodos analizados son discriminatorios porque se basan en criterios que no respetan plenamente la autonomía y dignidad de las personas con discapacidad. Estos enfoques imponen limitaciones basadas en evaluaciones externas y estandarizadas, sin considerar adecuadamente los derechos y deseos de las personas afectadas.</w:t>
      </w:r>
    </w:p>
    <w:p w:rsidR="00000000" w:rsidDel="00000000" w:rsidP="00000000" w:rsidRDefault="00000000" w:rsidRPr="00000000" w14:paraId="0000002D">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E">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40</w:t>
      </w:r>
      <w:r w:rsidDel="00000000" w:rsidR="00000000" w:rsidRPr="00000000">
        <w:rPr>
          <w:rtl w:val="0"/>
        </w:rPr>
      </w:r>
    </w:p>
    <w:p w:rsidR="00000000" w:rsidDel="00000000" w:rsidP="00000000" w:rsidRDefault="00000000" w:rsidRPr="00000000" w14:paraId="0000002F">
      <w:pPr>
        <w:pBdr>
          <w:top w:space="0" w:sz="0" w:val="nil"/>
          <w:left w:space="0" w:sz="0" w:val="nil"/>
          <w:bottom w:space="0" w:sz="0" w:val="nil"/>
          <w:right w:space="0" w:sz="0" w:val="nil"/>
          <w:between w:space="0" w:sz="0" w:val="nil"/>
        </w:pBdr>
        <w:spacing w:line="360" w:lineRule="auto"/>
        <w:ind w:firstLine="78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Como puede verse, este es uno de los puntos más controversiales del entendimiento del artículo 12 de la CDPD. Mientras para algunos autores el enfoque debe estar prohibido (Gooding &amp; Flynn, 2015, pp. 256-257); para otros, sí es compatible (Martin et al., 2016) con la CDPD. Si bien consideramos que es particularmente complejo establecer evaluaciones de funcionalidad que no sean discriminatorias, también es cierto que hay actos jurídicos que parecen necesitar un estándar de funcionamiento, como el consentimiento informado. Lo mismo se ha dicho sobre el concepto de intención en el Derecho Penal.</w:t>
      </w:r>
      <w:hyperlink w:anchor="bookmark=id.1hmsyys">
        <w:r w:rsidDel="00000000" w:rsidR="00000000" w:rsidRPr="00000000">
          <w:rPr>
            <w:rFonts w:ascii="Calibri" w:cs="Calibri" w:eastAsia="Calibri" w:hAnsi="Calibri"/>
            <w:sz w:val="22"/>
            <w:szCs w:val="22"/>
            <w:vertAlign w:val="superscript"/>
            <w:rtl w:val="0"/>
          </w:rPr>
          <w:t xml:space="preserve">22</w:t>
        </w:r>
      </w:hyperlink>
      <w:hyperlink w:anchor="bookmark=id.1hmsyys">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En nuestra opinión, el enfoque funcional podría llegar a ser discriminatorio de manera indirecta pero no lo es en todos los casos. Esto será retomado en el punto 4 del presente artículo en relación con la reforma peruana.</w:t>
      </w:r>
    </w:p>
    <w:p w:rsidR="00000000" w:rsidDel="00000000" w:rsidP="00000000" w:rsidRDefault="00000000" w:rsidRPr="00000000" w14:paraId="00000030">
      <w:pPr>
        <w:pBdr>
          <w:top w:space="0" w:sz="0" w:val="nil"/>
          <w:left w:space="0" w:sz="0" w:val="nil"/>
          <w:bottom w:space="0" w:sz="0" w:val="nil"/>
          <w:right w:space="0" w:sz="0" w:val="nil"/>
          <w:between w:space="0" w:sz="0" w:val="nil"/>
        </w:pBdr>
        <w:spacing w:after="257"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segundo lugar, en su Observación General 1 el Comité PCD estableció los siguientes criterios para saber cuándo se está frente a un modelo de sustitución de la voluntad:</w:t>
      </w:r>
    </w:p>
    <w:p w:rsidR="00000000" w:rsidDel="00000000" w:rsidP="00000000" w:rsidRDefault="00000000" w:rsidRPr="00000000" w14:paraId="00000031">
      <w:pPr>
        <w:pBdr>
          <w:top w:space="0" w:sz="0" w:val="nil"/>
          <w:left w:space="0" w:sz="0" w:val="nil"/>
          <w:bottom w:space="0" w:sz="0" w:val="nil"/>
          <w:right w:space="0" w:sz="0" w:val="nil"/>
          <w:between w:space="0" w:sz="0" w:val="nil"/>
        </w:pBdr>
        <w:spacing w:after="103" w:line="360" w:lineRule="auto"/>
        <w:ind w:left="760" w:firstLine="700"/>
        <w:jc w:val="both"/>
        <w:rPr>
          <w:rFonts w:ascii="Calibri" w:cs="Calibri" w:eastAsia="Calibri" w:hAnsi="Calibri"/>
          <w:i w:val="1"/>
          <w:sz w:val="22"/>
          <w:szCs w:val="22"/>
        </w:rPr>
      </w:pPr>
      <w:r w:rsidDel="00000000" w:rsidR="00000000" w:rsidRPr="00000000">
        <w:rPr>
          <w:rFonts w:ascii="Calibri" w:cs="Calibri" w:eastAsia="Calibri" w:hAnsi="Calibri"/>
          <w:i w:val="1"/>
          <w:sz w:val="22"/>
          <w:szCs w:val="22"/>
          <w:rtl w:val="0"/>
        </w:rPr>
        <w:t xml:space="preserve">“i) se despoja a la persona de la capacidad jurídica, aunque sea con respecto a una única decisión; ii) puede nombrar al sustituto que tomará las decisiones alguien que no sea la persona concernida y ese nombramiento puede hacerse en contra de su voluntad; y iii) toda decisión adoptada por el sustituto en la adopción de decisiones se basa en lo que se considera el "interés superior" objetivo de la persona concernida, en lugar de basarse en su propia voluntad y sus preferencias."</w:t>
      </w:r>
      <w:hyperlink w:anchor="bookmark=id.41mghml">
        <w:r w:rsidDel="00000000" w:rsidR="00000000" w:rsidRPr="00000000">
          <w:rPr>
            <w:rFonts w:ascii="Calibri" w:cs="Calibri" w:eastAsia="Calibri" w:hAnsi="Calibri"/>
            <w:i w:val="1"/>
            <w:sz w:val="22"/>
            <w:szCs w:val="22"/>
            <w:vertAlign w:val="superscript"/>
            <w:rtl w:val="0"/>
          </w:rPr>
          <w:t xml:space="preserve">23</w:t>
        </w:r>
      </w:hyperlink>
      <w:r w:rsidDel="00000000" w:rsidR="00000000" w:rsidRPr="00000000">
        <w:rPr>
          <w:rtl w:val="0"/>
        </w:rPr>
      </w:r>
    </w:p>
    <w:p w:rsidR="00000000" w:rsidDel="00000000" w:rsidP="00000000" w:rsidRDefault="00000000" w:rsidRPr="00000000" w14:paraId="00000032">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interpretación conforme al sentido corriente de los términos nos lleva a concluir que para que opere una sustitución de la voluntad deben cumplirse con los tres requisitos. No obstante, cuatro años después, el Comité emitió un </w:t>
      </w:r>
      <w:r w:rsidDel="00000000" w:rsidR="00000000" w:rsidRPr="00000000">
        <w:rPr>
          <w:rFonts w:ascii="Calibri" w:cs="Calibri" w:eastAsia="Calibri" w:hAnsi="Calibri"/>
          <w:i w:val="1"/>
          <w:sz w:val="22"/>
          <w:szCs w:val="22"/>
          <w:rtl w:val="0"/>
        </w:rPr>
        <w:t xml:space="preserve">corrigendum</w:t>
      </w:r>
      <w:r w:rsidDel="00000000" w:rsidR="00000000" w:rsidRPr="00000000">
        <w:rPr>
          <w:rFonts w:ascii="Calibri" w:cs="Calibri" w:eastAsia="Calibri" w:hAnsi="Calibri"/>
          <w:sz w:val="22"/>
          <w:szCs w:val="22"/>
          <w:rtl w:val="0"/>
        </w:rPr>
        <w:t xml:space="preserve"> en el que modifica el "y" por un "o".</w:t>
      </w:r>
      <w:hyperlink w:anchor="bookmark=id.2grqrue">
        <w:r w:rsidDel="00000000" w:rsidR="00000000" w:rsidRPr="00000000">
          <w:rPr>
            <w:rFonts w:ascii="Calibri" w:cs="Calibri" w:eastAsia="Calibri" w:hAnsi="Calibri"/>
            <w:sz w:val="22"/>
            <w:szCs w:val="22"/>
            <w:vertAlign w:val="superscript"/>
            <w:rtl w:val="0"/>
          </w:rPr>
          <w:t xml:space="preserve">24</w:t>
        </w:r>
      </w:hyperlink>
      <w:r w:rsidDel="00000000" w:rsidR="00000000" w:rsidRPr="00000000">
        <w:rPr>
          <w:rFonts w:ascii="Calibri" w:cs="Calibri" w:eastAsia="Calibri" w:hAnsi="Calibri"/>
          <w:sz w:val="22"/>
          <w:szCs w:val="22"/>
          <w:rtl w:val="0"/>
        </w:rPr>
        <w:t xml:space="preserve"> En tanto la conjunción "o" puede ser interpretada de diversas maneras, podría ser que cada una de las condiciones individualmente sea suficiente para ser una forma de sustitución de la voluntad.</w:t>
      </w:r>
      <w:hyperlink w:anchor="bookmark=id.vx1227">
        <w:r w:rsidDel="00000000" w:rsidR="00000000" w:rsidRPr="00000000">
          <w:rPr>
            <w:rFonts w:ascii="Calibri" w:cs="Calibri" w:eastAsia="Calibri" w:hAnsi="Calibri"/>
            <w:sz w:val="22"/>
            <w:szCs w:val="22"/>
            <w:vertAlign w:val="superscript"/>
            <w:rtl w:val="0"/>
          </w:rPr>
          <w:t xml:space="preserve">25</w:t>
        </w:r>
      </w:hyperlink>
      <w:r w:rsidDel="00000000" w:rsidR="00000000" w:rsidRPr="00000000">
        <w:rPr>
          <w:rFonts w:ascii="Calibri" w:cs="Calibri" w:eastAsia="Calibri" w:hAnsi="Calibri"/>
          <w:sz w:val="22"/>
          <w:szCs w:val="22"/>
          <w:vertAlign w:val="superscript"/>
          <w:rtl w:val="0"/>
        </w:rPr>
        <w:t xml:space="preserve"> </w:t>
      </w:r>
      <w:r w:rsidDel="00000000" w:rsidR="00000000" w:rsidRPr="00000000">
        <w:rPr>
          <w:rFonts w:ascii="Calibri" w:cs="Calibri" w:eastAsia="Calibri" w:hAnsi="Calibri"/>
          <w:sz w:val="22"/>
          <w:szCs w:val="22"/>
          <w:rtl w:val="0"/>
        </w:rPr>
        <w:t xml:space="preserve">Esto genera serias dificultades para adecuar los ordenamientos internos al artículo 12. Como veremos también más adelante, el proceso de reforma peruana ha establecido un mecanismos de apoyo obligatorio que no superaría el estándar corregido del Comité PCD. No obstante, no contar con esta figura generaría una situación de desprotección mayor. En ese sentido, como señalaremos más adelante, resulta necesario redefinir los alcances de una sustitución de la voluntad.</w:t>
      </w:r>
    </w:p>
    <w:p w:rsidR="00000000" w:rsidDel="00000000" w:rsidP="00000000" w:rsidRDefault="00000000" w:rsidRPr="00000000" w14:paraId="0000003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0d0d0d"/>
          <w:sz w:val="22"/>
          <w:szCs w:val="22"/>
          <w:highlight w:val="white"/>
          <w:rtl w:val="0"/>
        </w:rPr>
        <w:t xml:space="preserve">Inicio página 41</w:t>
      </w:r>
      <w:r w:rsidDel="00000000" w:rsidR="00000000" w:rsidRPr="00000000">
        <w:rPr>
          <w:rtl w:val="0"/>
        </w:rPr>
      </w:r>
    </w:p>
    <w:p w:rsidR="00000000" w:rsidDel="00000000" w:rsidP="00000000" w:rsidRDefault="00000000" w:rsidRPr="00000000" w14:paraId="00000034">
      <w:pPr>
        <w:numPr>
          <w:ilvl w:val="1"/>
          <w:numId w:val="2"/>
        </w:numPr>
        <w:pBdr>
          <w:top w:space="0" w:sz="0" w:val="nil"/>
          <w:left w:space="0" w:sz="0" w:val="nil"/>
          <w:bottom w:space="0" w:sz="0" w:val="nil"/>
          <w:right w:space="0" w:sz="0" w:val="nil"/>
          <w:between w:space="0" w:sz="0" w:val="nil"/>
        </w:pBdr>
        <w:spacing w:after="162"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 El sistema de apoyos y salvaguardias</w:t>
      </w:r>
      <w:r w:rsidDel="00000000" w:rsidR="00000000" w:rsidRPr="00000000">
        <w:rPr>
          <w:rtl w:val="0"/>
        </w:rPr>
      </w:r>
    </w:p>
    <w:p w:rsidR="00000000" w:rsidDel="00000000" w:rsidP="00000000" w:rsidRDefault="00000000" w:rsidRPr="00000000" w14:paraId="00000035">
      <w:pPr>
        <w:pBdr>
          <w:top w:space="0" w:sz="0" w:val="nil"/>
          <w:left w:space="0" w:sz="0" w:val="nil"/>
          <w:bottom w:space="0" w:sz="0" w:val="nil"/>
          <w:right w:space="0" w:sz="0" w:val="nil"/>
          <w:between w:space="0" w:sz="0" w:val="nil"/>
        </w:pBdr>
        <w:spacing w:after="180"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artículo 12.3 plantea que las personas con discapacidad tienen derecho a los "apoyos para el ejercicio de capacidad jurídica”. Estos pueden ser entendidos como son mecanismos para facilitar la voluntad de una persona al momento de tomar una decisión de relevancia jurídica, y pueden materializarse de diversas maneras. Así, una de las fórmulas más respaldadas por los colectivos de personas con discapacidad ha sido el "apoyo para la toma de decisiones” </w:t>
      </w:r>
      <w:r w:rsidDel="00000000" w:rsidR="00000000" w:rsidRPr="00000000">
        <w:rPr>
          <w:rFonts w:ascii="Calibri" w:cs="Calibri" w:eastAsia="Calibri" w:hAnsi="Calibri"/>
          <w:i w:val="1"/>
          <w:sz w:val="22"/>
          <w:szCs w:val="22"/>
          <w:rtl w:val="0"/>
        </w:rPr>
        <w:t xml:space="preserve">(supported decisión-making).</w:t>
      </w:r>
      <w:hyperlink w:anchor="bookmark=id.1v1yuxt">
        <w:r w:rsidDel="00000000" w:rsidR="00000000" w:rsidRPr="00000000">
          <w:rPr>
            <w:rFonts w:ascii="Calibri" w:cs="Calibri" w:eastAsia="Calibri" w:hAnsi="Calibri"/>
            <w:i w:val="1"/>
            <w:sz w:val="22"/>
            <w:szCs w:val="22"/>
            <w:vertAlign w:val="superscript"/>
            <w:rtl w:val="0"/>
          </w:rPr>
          <w:t xml:space="preserve">26</w:t>
        </w:r>
      </w:hyperlink>
      <w:hyperlink w:anchor="bookmark=id.1v1yuxt">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De acuerdo con Dinerstein, estos consisten en "una serie de relaciones, prácticas, arreglos y acuerdos, de más o menos formalidad e intensidad, diseñados para ayudar a una persona con discapacidad a tomar y comunicar a otros decisiones sobre la vida de la persona”.</w:t>
      </w:r>
      <w:hyperlink w:anchor="bookmark=id.4f1mdlm">
        <w:r w:rsidDel="00000000" w:rsidR="00000000" w:rsidRPr="00000000">
          <w:rPr>
            <w:rFonts w:ascii="Calibri" w:cs="Calibri" w:eastAsia="Calibri" w:hAnsi="Calibri"/>
            <w:sz w:val="22"/>
            <w:szCs w:val="22"/>
            <w:vertAlign w:val="superscript"/>
            <w:rtl w:val="0"/>
          </w:rPr>
          <w:t xml:space="preserve">27</w:t>
        </w:r>
      </w:hyperlink>
      <w:r w:rsidDel="00000000" w:rsidR="00000000" w:rsidRPr="00000000">
        <w:rPr>
          <w:rFonts w:ascii="Calibri" w:cs="Calibri" w:eastAsia="Calibri" w:hAnsi="Calibri"/>
          <w:sz w:val="22"/>
          <w:szCs w:val="22"/>
          <w:rtl w:val="0"/>
        </w:rPr>
        <w:t xml:space="preserve"> En ese sentido, serían formas de apoyo para la toma de decisiones "el apoyo de pares (...), las redes de apoyo comunitario y asistencia personal, los llamados apoyos naturales (familia, amigos), o representantes (de conformidad con un acuerdo de representación) para hablar con, en lugar de para, la persona con una discapacidad".</w:t>
      </w:r>
      <w:hyperlink w:anchor="bookmark=id.2u6wntf">
        <w:r w:rsidDel="00000000" w:rsidR="00000000" w:rsidRPr="00000000">
          <w:rPr>
            <w:rFonts w:ascii="Calibri" w:cs="Calibri" w:eastAsia="Calibri" w:hAnsi="Calibri"/>
            <w:sz w:val="22"/>
            <w:szCs w:val="22"/>
            <w:vertAlign w:val="superscript"/>
            <w:rtl w:val="0"/>
          </w:rPr>
          <w:t xml:space="preserve">28</w:t>
        </w:r>
      </w:hyperlink>
      <w:r w:rsidDel="00000000" w:rsidR="00000000" w:rsidRPr="00000000">
        <w:rPr>
          <w:rFonts w:ascii="Calibri" w:cs="Calibri" w:eastAsia="Calibri" w:hAnsi="Calibri"/>
          <w:sz w:val="22"/>
          <w:szCs w:val="22"/>
          <w:rtl w:val="0"/>
        </w:rPr>
        <w:t xml:space="preserve"> Otras formas de apoyo para el ejercicio de capacidad jurídica serían "la designación de representante o formas de planeamiento avanzado, como las directivas avanzadas o directivas Ulises".</w:t>
      </w:r>
      <w:hyperlink w:anchor="bookmark=id.19c6y18">
        <w:r w:rsidDel="00000000" w:rsidR="00000000" w:rsidRPr="00000000">
          <w:rPr>
            <w:rFonts w:ascii="Calibri" w:cs="Calibri" w:eastAsia="Calibri" w:hAnsi="Calibri"/>
            <w:sz w:val="22"/>
            <w:szCs w:val="22"/>
            <w:vertAlign w:val="superscript"/>
            <w:rtl w:val="0"/>
          </w:rPr>
          <w:t xml:space="preserve">29</w:t>
        </w:r>
      </w:hyperlink>
      <w:r w:rsidDel="00000000" w:rsidR="00000000" w:rsidRPr="00000000">
        <w:rPr>
          <w:rtl w:val="0"/>
        </w:rPr>
      </w:r>
    </w:p>
    <w:p w:rsidR="00000000" w:rsidDel="00000000" w:rsidP="00000000" w:rsidRDefault="00000000" w:rsidRPr="00000000" w14:paraId="00000036">
      <w:pPr>
        <w:pBdr>
          <w:top w:space="0" w:sz="0" w:val="nil"/>
          <w:left w:space="0" w:sz="0" w:val="nil"/>
          <w:bottom w:space="0" w:sz="0" w:val="nil"/>
          <w:right w:space="0" w:sz="0" w:val="nil"/>
          <w:between w:space="0" w:sz="0" w:val="nil"/>
        </w:pBdr>
        <w:spacing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esta manera, en palabras de Catalina Devandas, Relatora de Naciones Unidas para los derechos de personas con discapacidad, el apoyo para la toma de decisiones ayuda a la persona con discapacidad a "a) obtener y entender información; b) evaluar las posibles alternativas a una decisión y sus consecuencias; c) expresar y comunicar una decisión; y/o d) ejecutar una decisión".</w:t>
      </w:r>
      <w:hyperlink w:anchor="bookmark=id.3tbugp1">
        <w:r w:rsidDel="00000000" w:rsidR="00000000" w:rsidRPr="00000000">
          <w:rPr>
            <w:rFonts w:ascii="Calibri" w:cs="Calibri" w:eastAsia="Calibri" w:hAnsi="Calibri"/>
            <w:sz w:val="22"/>
            <w:szCs w:val="22"/>
            <w:vertAlign w:val="superscript"/>
            <w:rtl w:val="0"/>
          </w:rPr>
          <w:t xml:space="preserve">30</w:t>
        </w:r>
      </w:hyperlink>
      <w:r w:rsidDel="00000000" w:rsidR="00000000" w:rsidRPr="00000000">
        <w:rPr>
          <w:rtl w:val="0"/>
        </w:rPr>
      </w:r>
    </w:p>
    <w:p w:rsidR="00000000" w:rsidDel="00000000" w:rsidP="00000000" w:rsidRDefault="00000000" w:rsidRPr="00000000" w14:paraId="00000037">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8">
      <w:pPr>
        <w:pBdr>
          <w:top w:space="0" w:sz="0" w:val="nil"/>
          <w:left w:space="0" w:sz="0" w:val="nil"/>
          <w:bottom w:space="0" w:sz="0" w:val="nil"/>
          <w:right w:space="0" w:sz="0" w:val="nil"/>
          <w:between w:space="0" w:sz="0" w:val="nil"/>
        </w:pBdr>
        <w:spacing w:after="180" w:line="360" w:lineRule="auto"/>
        <w:ind w:firstLine="74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ese sentido, es necesario diferenciar entre apoyo y persona que presta el apoyo. En general, el apoyo debe estar disponible para las personas que lo requieran; basarse en la voluntad, no en un interés superior objetivo; debe contar con un reconocimiento jurídico, una forma de comprobación de la identidad y la posibilidad de impugnar la actuación de quienes prestan el apoyo.</w:t>
      </w:r>
      <w:hyperlink w:anchor="bookmark=id.28h4qwu">
        <w:r w:rsidDel="00000000" w:rsidR="00000000" w:rsidRPr="00000000">
          <w:rPr>
            <w:rFonts w:ascii="Calibri" w:cs="Calibri" w:eastAsia="Calibri" w:hAnsi="Calibri"/>
            <w:sz w:val="22"/>
            <w:szCs w:val="22"/>
            <w:vertAlign w:val="superscript"/>
            <w:rtl w:val="0"/>
          </w:rPr>
          <w:t xml:space="preserve">31</w:t>
        </w:r>
      </w:hyperlink>
      <w:hyperlink w:anchor="bookmark=id.28h4qwu">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Adicionalmente, la necesidad o utilización de un apoyo no debe ser excusa para limitar algún derecho de la persona con discapacidad. Finalmente, la persona con discapacidad tiene derecho a acabar el apoyo en el momento que desee.</w:t>
      </w:r>
      <w:hyperlink w:anchor="bookmark=id.nmf14n">
        <w:r w:rsidDel="00000000" w:rsidR="00000000" w:rsidRPr="00000000">
          <w:rPr>
            <w:rFonts w:ascii="Calibri" w:cs="Calibri" w:eastAsia="Calibri" w:hAnsi="Calibri"/>
            <w:sz w:val="22"/>
            <w:szCs w:val="22"/>
            <w:vertAlign w:val="superscript"/>
            <w:rtl w:val="0"/>
          </w:rPr>
          <w:t xml:space="preserve">32</w:t>
        </w:r>
      </w:hyperlink>
      <w:r w:rsidDel="00000000" w:rsidR="00000000" w:rsidRPr="00000000">
        <w:rPr>
          <w:rtl w:val="0"/>
        </w:rPr>
      </w:r>
    </w:p>
    <w:p w:rsidR="00000000" w:rsidDel="00000000" w:rsidP="00000000" w:rsidRDefault="00000000" w:rsidRPr="00000000" w14:paraId="00000039">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42</w:t>
      </w:r>
      <w:r w:rsidDel="00000000" w:rsidR="00000000" w:rsidRPr="00000000">
        <w:rPr>
          <w:rtl w:val="0"/>
        </w:rPr>
      </w:r>
    </w:p>
    <w:p w:rsidR="00000000" w:rsidDel="00000000" w:rsidP="00000000" w:rsidRDefault="00000000" w:rsidRPr="00000000" w14:paraId="0000003A">
      <w:pPr>
        <w:pBdr>
          <w:top w:space="0" w:sz="0" w:val="nil"/>
          <w:left w:space="0" w:sz="0" w:val="nil"/>
          <w:bottom w:space="0" w:sz="0" w:val="nil"/>
          <w:right w:space="0" w:sz="0" w:val="nil"/>
          <w:between w:space="0" w:sz="0" w:val="nil"/>
        </w:pBdr>
        <w:spacing w:after="180" w:line="360" w:lineRule="auto"/>
        <w:ind w:firstLine="74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 aspecto que genera controversia es el referido a si una vez establecido el apoyo, su uso es potestativo u obligatorio. Pareciera que si la persona con discapacidad puede acabar el apoyo en cualquier momento, también puede utilizarlo libremente. Sin embargo, también podría entenderse la libertad de finalizar el apoyo debe respetar ciertas garantías de un procedimiento administrativo o un proceso legal, en aras de la seguridad jurídica. En ese sentido, la normativa colombiana recientemente aprobada señala que la persona que brinda apoyos debe proveerlos en todo acto jurídico que practique la persona con discapacidad y que ello es un requisito para la validez del acto jurídico.</w:t>
      </w:r>
      <w:hyperlink w:anchor="bookmark=id.37m2jsg">
        <w:r w:rsidDel="00000000" w:rsidR="00000000" w:rsidRPr="00000000">
          <w:rPr>
            <w:rFonts w:ascii="Calibri" w:cs="Calibri" w:eastAsia="Calibri" w:hAnsi="Calibri"/>
            <w:sz w:val="22"/>
            <w:szCs w:val="22"/>
            <w:vertAlign w:val="superscript"/>
            <w:rtl w:val="0"/>
          </w:rPr>
          <w:t xml:space="preserve">33</w:t>
        </w:r>
      </w:hyperlink>
      <w:r w:rsidDel="00000000" w:rsidR="00000000" w:rsidRPr="00000000">
        <w:rPr>
          <w:rtl w:val="0"/>
        </w:rPr>
      </w:r>
    </w:p>
    <w:p w:rsidR="00000000" w:rsidDel="00000000" w:rsidP="00000000" w:rsidRDefault="00000000" w:rsidRPr="00000000" w14:paraId="0000003B">
      <w:pPr>
        <w:pBdr>
          <w:top w:space="0" w:sz="0" w:val="nil"/>
          <w:left w:space="0" w:sz="0" w:val="nil"/>
          <w:bottom w:space="0" w:sz="0" w:val="nil"/>
          <w:right w:space="0" w:sz="0" w:val="nil"/>
          <w:between w:space="0" w:sz="0" w:val="nil"/>
        </w:pBdr>
        <w:spacing w:after="180" w:line="360" w:lineRule="auto"/>
        <w:ind w:firstLine="74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Finalmente, a modo de contrapeso, la CDPD establece un sistema de salvaguardias. Estas, de acuerdo con la CDPD son medidas</w:t>
      </w:r>
    </w:p>
    <w:p w:rsidR="00000000" w:rsidDel="00000000" w:rsidP="00000000" w:rsidRDefault="00000000" w:rsidRPr="00000000" w14:paraId="0000003C">
      <w:pPr>
        <w:pBdr>
          <w:top w:space="0" w:sz="0" w:val="nil"/>
          <w:left w:space="0" w:sz="0" w:val="nil"/>
          <w:bottom w:space="0" w:sz="0" w:val="nil"/>
          <w:right w:space="0" w:sz="0" w:val="nil"/>
          <w:between w:space="0" w:sz="0" w:val="nil"/>
        </w:pBdr>
        <w:spacing w:line="360" w:lineRule="auto"/>
        <w:ind w:left="740" w:firstLine="720"/>
        <w:jc w:val="both"/>
        <w:rPr>
          <w:rFonts w:ascii="Calibri" w:cs="Calibri" w:eastAsia="Calibri" w:hAnsi="Calibri"/>
          <w:i w:val="1"/>
          <w:sz w:val="22"/>
          <w:szCs w:val="22"/>
        </w:rPr>
      </w:pPr>
      <w:r w:rsidDel="00000000" w:rsidR="00000000" w:rsidRPr="00000000">
        <w:rPr>
          <w:rFonts w:ascii="Calibri" w:cs="Calibri" w:eastAsia="Calibri" w:hAnsi="Calibri"/>
          <w:i w:val="1"/>
          <w:sz w:val="22"/>
          <w:szCs w:val="22"/>
          <w:rtl w:val="0"/>
        </w:rPr>
        <w:t xml:space="preserve">(...) adecuadas y efectivas para impedir los abusos de conformidad con el derecho internacional en materia de derechos humanos. Esas salvaguardias asegurarán que las medidas relativas al ejercicio de la capacidad jurídica respeten los derechos, la voluntad y las preferencias de la persona, que no haya conflicto de intereses ni influencia indebida, que sean proporcionales y adaptadas a las circunstancias de la persona, que se apliquen en el plazo más corto posible y que estén sujetas a exámenes periódicos por parte de una autoridad o un órgano judicial competente, independiente e imparcial. Las salvaguardias</w:t>
      </w:r>
      <w:r w:rsidDel="00000000" w:rsidR="00000000" w:rsidRPr="00000000">
        <w:rPr>
          <w:rFonts w:ascii="Calibri" w:cs="Calibri" w:eastAsia="Calibri" w:hAnsi="Calibri"/>
          <w:sz w:val="22"/>
          <w:szCs w:val="22"/>
          <w:rtl w:val="0"/>
        </w:rPr>
        <w:t xml:space="preserve"> </w:t>
      </w:r>
      <w:r w:rsidDel="00000000" w:rsidR="00000000" w:rsidRPr="00000000">
        <w:rPr>
          <w:rFonts w:ascii="Calibri" w:cs="Calibri" w:eastAsia="Calibri" w:hAnsi="Calibri"/>
          <w:i w:val="1"/>
          <w:sz w:val="22"/>
          <w:szCs w:val="22"/>
          <w:rtl w:val="0"/>
        </w:rPr>
        <w:t xml:space="preserve">serán proporcionales al grado en que dichas medidas afecten a los derechos e intereses de</w:t>
      </w:r>
    </w:p>
    <w:p w:rsidR="00000000" w:rsidDel="00000000" w:rsidP="00000000" w:rsidRDefault="00000000" w:rsidRPr="00000000" w14:paraId="0000003D">
      <w:pPr>
        <w:pBdr>
          <w:top w:space="0" w:sz="0" w:val="nil"/>
          <w:left w:space="0" w:sz="0" w:val="nil"/>
          <w:bottom w:space="0" w:sz="0" w:val="nil"/>
          <w:right w:space="0" w:sz="0" w:val="nil"/>
          <w:between w:space="0" w:sz="0" w:val="nil"/>
        </w:pBdr>
        <w:spacing w:after="179" w:line="360" w:lineRule="auto"/>
        <w:ind w:firstLine="760"/>
        <w:jc w:val="both"/>
        <w:rPr>
          <w:rFonts w:ascii="Calibri" w:cs="Calibri" w:eastAsia="Calibri" w:hAnsi="Calibri"/>
          <w:i w:val="1"/>
          <w:sz w:val="22"/>
          <w:szCs w:val="22"/>
        </w:rPr>
      </w:pPr>
      <w:r w:rsidDel="00000000" w:rsidR="00000000" w:rsidRPr="00000000">
        <w:rPr>
          <w:rFonts w:ascii="Calibri" w:cs="Calibri" w:eastAsia="Calibri" w:hAnsi="Calibri"/>
          <w:i w:val="1"/>
          <w:sz w:val="22"/>
          <w:szCs w:val="22"/>
          <w:rtl w:val="0"/>
        </w:rPr>
        <w:t xml:space="preserve">las personas.</w:t>
      </w:r>
    </w:p>
    <w:p w:rsidR="00000000" w:rsidDel="00000000" w:rsidP="00000000" w:rsidRDefault="00000000" w:rsidRPr="00000000" w14:paraId="0000003E">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Lamentablemente, la Observación General 1 solamente le dedicó tres párrafos al tema.</w:t>
      </w:r>
      <w:hyperlink w:anchor="bookmark=id.46r0co2">
        <w:r w:rsidDel="00000000" w:rsidR="00000000" w:rsidRPr="00000000">
          <w:rPr>
            <w:rFonts w:ascii="Calibri" w:cs="Calibri" w:eastAsia="Calibri" w:hAnsi="Calibri"/>
            <w:sz w:val="22"/>
            <w:szCs w:val="22"/>
            <w:vertAlign w:val="superscript"/>
            <w:rtl w:val="0"/>
          </w:rPr>
          <w:t xml:space="preserve">34</w:t>
        </w:r>
      </w:hyperlink>
      <w:r w:rsidDel="00000000" w:rsidR="00000000" w:rsidRPr="00000000">
        <w:rPr>
          <w:rFonts w:ascii="Calibri" w:cs="Calibri" w:eastAsia="Calibri" w:hAnsi="Calibri"/>
          <w:sz w:val="22"/>
          <w:szCs w:val="22"/>
          <w:vertAlign w:val="superscript"/>
          <w:rtl w:val="0"/>
        </w:rPr>
        <w:t xml:space="preserve"> </w:t>
      </w:r>
      <w:r w:rsidDel="00000000" w:rsidR="00000000" w:rsidRPr="00000000">
        <w:rPr>
          <w:rFonts w:ascii="Calibri" w:cs="Calibri" w:eastAsia="Calibri" w:hAnsi="Calibri"/>
          <w:sz w:val="22"/>
          <w:szCs w:val="22"/>
          <w:rtl w:val="0"/>
        </w:rPr>
        <w:t xml:space="preserve">Las salvaguardias serían un espacio de paternalismo destinado a garantizar la "verdadera voluntad" de la persona con discapacidad. Así, si el apoyo busca influenciar indebidamente en él o ella, la salvaguardia buscará impedirlo o remediarlo. En ese sentido, las salvaguardias no son fácilmente generalizables sino que son "proporcionales al grado en que [las] medidas [relativas al ejercicio de la capacidad jurídica] afecten a los derechos e intereses de las personas" (artículo 12.4 de la CDPD).</w:t>
      </w:r>
    </w:p>
    <w:p w:rsidR="00000000" w:rsidDel="00000000" w:rsidP="00000000" w:rsidRDefault="00000000" w:rsidRPr="00000000" w14:paraId="0000003F">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44</w:t>
      </w:r>
      <w:r w:rsidDel="00000000" w:rsidR="00000000" w:rsidRPr="00000000">
        <w:rPr>
          <w:rtl w:val="0"/>
        </w:rPr>
      </w:r>
    </w:p>
    <w:p w:rsidR="00000000" w:rsidDel="00000000" w:rsidP="00000000" w:rsidRDefault="00000000" w:rsidRPr="00000000" w14:paraId="00000040">
      <w:pPr>
        <w:pBdr>
          <w:top w:space="0" w:sz="0" w:val="nil"/>
          <w:left w:space="0" w:sz="0" w:val="nil"/>
          <w:bottom w:space="0" w:sz="0" w:val="nil"/>
          <w:right w:space="0" w:sz="0" w:val="nil"/>
          <w:between w:space="0" w:sz="0" w:val="nil"/>
        </w:pBdr>
        <w:spacing w:after="326"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 obstante, podemos pensar en dos problemas de índole práctica. En primer lugar, ¿qué sucede cuando la voluntad de una persona no es clara, ya sea por qué no se comunica adecuadamente o porque varía en breves periodos de tiempo? (por ejemplo, porque es una persona con Alzheimer). En segundo lugar, de acuerdo con el artículo 12.4 de la CDPD, las medidas relativas al ejercicio de la capacidad jurídica deben respetar los derechos, la voluntad y las preferencias de la persona con discapacidad. Pero ¿qué ocurre cuando estos conceptos no están en sincronía? A partir de algunas experiencias en la implementación de la reforma peruana procuraremos responder estas cuestiones.</w:t>
      </w:r>
    </w:p>
    <w:p w:rsidR="00000000" w:rsidDel="00000000" w:rsidP="00000000" w:rsidRDefault="00000000" w:rsidRPr="00000000" w14:paraId="00000041">
      <w:pPr>
        <w:numPr>
          <w:ilvl w:val="0"/>
          <w:numId w:val="2"/>
        </w:numPr>
        <w:pBdr>
          <w:top w:space="0" w:sz="0" w:val="nil"/>
          <w:left w:space="0" w:sz="0" w:val="nil"/>
          <w:bottom w:space="0" w:sz="0" w:val="nil"/>
          <w:right w:space="0" w:sz="0" w:val="nil"/>
          <w:between w:space="0" w:sz="0" w:val="nil"/>
        </w:pBdr>
        <w:spacing w:after="162"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 UNA BREVE HISTORIA DE LA REFORMA PERUANA</w:t>
      </w:r>
      <w:r w:rsidDel="00000000" w:rsidR="00000000" w:rsidRPr="00000000">
        <w:rPr>
          <w:rtl w:val="0"/>
        </w:rPr>
      </w:r>
    </w:p>
    <w:p w:rsidR="00000000" w:rsidDel="00000000" w:rsidP="00000000" w:rsidRDefault="00000000" w:rsidRPr="00000000" w14:paraId="00000042">
      <w:pPr>
        <w:pBdr>
          <w:top w:space="0" w:sz="0" w:val="nil"/>
          <w:left w:space="0" w:sz="0" w:val="nil"/>
          <w:bottom w:space="0" w:sz="0" w:val="nil"/>
          <w:right w:space="0" w:sz="0" w:val="nil"/>
          <w:between w:space="0" w:sz="0" w:val="nil"/>
        </w:pBdr>
        <w:spacing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CDPD entró en vigor para el Perú el 3 de mayo de 2008. En el marco de dicho tratado, Perú pasó por el mecanismo de supervisión de informes periódicos, previsto en el artículo 35 de la CDPD, ante el Comité PCD, en el 2011. En sus Observaciones Finales, el Comité señaló que la legislación peruana no estaba alineada con el artículo 12 de la CDPD,</w:t>
      </w:r>
      <w:hyperlink w:anchor="bookmark=id.2lwamvv">
        <w:r w:rsidDel="00000000" w:rsidR="00000000" w:rsidRPr="00000000">
          <w:rPr>
            <w:rFonts w:ascii="Calibri" w:cs="Calibri" w:eastAsia="Calibri" w:hAnsi="Calibri"/>
            <w:sz w:val="22"/>
            <w:szCs w:val="22"/>
            <w:vertAlign w:val="superscript"/>
            <w:rtl w:val="0"/>
          </w:rPr>
          <w:t xml:space="preserve">35</w:t>
        </w:r>
      </w:hyperlink>
      <w:r w:rsidDel="00000000" w:rsidR="00000000" w:rsidRPr="00000000">
        <w:rPr>
          <w:rFonts w:ascii="Calibri" w:cs="Calibri" w:eastAsia="Calibri" w:hAnsi="Calibri"/>
          <w:sz w:val="22"/>
          <w:szCs w:val="22"/>
          <w:rtl w:val="0"/>
        </w:rPr>
        <w:t xml:space="preserve"> entre otras razones, por contemplar en el Código Civil un sistema de incapacidad y sustitución de la voluntad a partir de un curador. Es importante recordar que al momento del pronunciamiento del Comité, la Ley 29973,</w:t>
      </w:r>
    </w:p>
    <w:p w:rsidR="00000000" w:rsidDel="00000000" w:rsidP="00000000" w:rsidRDefault="00000000" w:rsidRPr="00000000" w14:paraId="0000004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4">
      <w:pPr>
        <w:pBdr>
          <w:top w:space="0" w:sz="0" w:val="nil"/>
          <w:left w:space="0" w:sz="0" w:val="nil"/>
          <w:bottom w:space="0" w:sz="0" w:val="nil"/>
          <w:right w:space="0" w:sz="0" w:val="nil"/>
          <w:between w:space="0" w:sz="0" w:val="nil"/>
        </w:pBdr>
        <w:spacing w:after="180"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Ley General de la Persona con Discapacidad (LGPD)</w:t>
      </w:r>
      <w:hyperlink w:anchor="bookmark=id.111kx3o">
        <w:r w:rsidDel="00000000" w:rsidR="00000000" w:rsidRPr="00000000">
          <w:rPr>
            <w:rFonts w:ascii="Calibri" w:cs="Calibri" w:eastAsia="Calibri" w:hAnsi="Calibri"/>
            <w:sz w:val="22"/>
            <w:szCs w:val="22"/>
            <w:vertAlign w:val="superscript"/>
            <w:rtl w:val="0"/>
          </w:rPr>
          <w:t xml:space="preserve">36</w:t>
        </w:r>
      </w:hyperlink>
      <w:r w:rsidDel="00000000" w:rsidR="00000000" w:rsidRPr="00000000">
        <w:rPr>
          <w:rFonts w:ascii="Calibri" w:cs="Calibri" w:eastAsia="Calibri" w:hAnsi="Calibri"/>
          <w:sz w:val="22"/>
          <w:szCs w:val="22"/>
          <w:rtl w:val="0"/>
        </w:rPr>
        <w:t xml:space="preserve"> no había sido publicada, por lo que incluso las personas ciegosordas, sordomudas y ciegomudas eran consideradas incapaces.</w:t>
      </w:r>
      <w:hyperlink w:anchor="bookmark=id.3l18frh">
        <w:r w:rsidDel="00000000" w:rsidR="00000000" w:rsidRPr="00000000">
          <w:rPr>
            <w:rFonts w:ascii="Calibri" w:cs="Calibri" w:eastAsia="Calibri" w:hAnsi="Calibri"/>
            <w:sz w:val="22"/>
            <w:szCs w:val="22"/>
            <w:vertAlign w:val="superscript"/>
            <w:rtl w:val="0"/>
          </w:rPr>
          <w:t xml:space="preserve">37</w:t>
        </w:r>
      </w:hyperlink>
      <w:r w:rsidDel="00000000" w:rsidR="00000000" w:rsidRPr="00000000">
        <w:rPr>
          <w:rtl w:val="0"/>
        </w:rPr>
      </w:r>
    </w:p>
    <w:p w:rsidR="00000000" w:rsidDel="00000000" w:rsidP="00000000" w:rsidRDefault="00000000" w:rsidRPr="00000000" w14:paraId="00000045">
      <w:pPr>
        <w:pBdr>
          <w:top w:space="0" w:sz="0" w:val="nil"/>
          <w:left w:space="0" w:sz="0" w:val="nil"/>
          <w:bottom w:space="0" w:sz="0" w:val="nil"/>
          <w:right w:space="0" w:sz="0" w:val="nil"/>
          <w:between w:space="0" w:sz="0" w:val="nil"/>
        </w:pBdr>
        <w:spacing w:after="180"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Pese a que LGPD declaró la igual capacidad jurídica de en su artículo 9, no operativizó dicho reconocimiento para las personas con discapacidad mental en el Derecho Civil. Solamente derogó del artículo 43.3 del Código Civil, referido a la incapacidad de los "sordomudos, los ciegosordos y los ciegomudos que no pueden expresar su voluntad de manera indubitable”</w:t>
      </w:r>
      <w:hyperlink w:anchor="bookmark=id.206ipza">
        <w:r w:rsidDel="00000000" w:rsidR="00000000" w:rsidRPr="00000000">
          <w:rPr>
            <w:rFonts w:ascii="Calibri" w:cs="Calibri" w:eastAsia="Calibri" w:hAnsi="Calibri"/>
            <w:sz w:val="22"/>
            <w:szCs w:val="22"/>
            <w:vertAlign w:val="superscript"/>
            <w:rtl w:val="0"/>
          </w:rPr>
          <w:t xml:space="preserve">38</w:t>
        </w:r>
      </w:hyperlink>
      <w:r w:rsidDel="00000000" w:rsidR="00000000" w:rsidRPr="00000000">
        <w:rPr>
          <w:rFonts w:ascii="Calibri" w:cs="Calibri" w:eastAsia="Calibri" w:hAnsi="Calibri"/>
          <w:sz w:val="22"/>
          <w:szCs w:val="22"/>
          <w:rtl w:val="0"/>
        </w:rPr>
        <w:t xml:space="preserve">. Además, respecto a la incapacidad de personas con discapacidad mental (establecida en los artículos 43.2</w:t>
      </w:r>
      <w:hyperlink w:anchor="bookmark=id.4k668n3">
        <w:r w:rsidDel="00000000" w:rsidR="00000000" w:rsidRPr="00000000">
          <w:rPr>
            <w:rFonts w:ascii="Calibri" w:cs="Calibri" w:eastAsia="Calibri" w:hAnsi="Calibri"/>
            <w:sz w:val="22"/>
            <w:szCs w:val="22"/>
            <w:vertAlign w:val="superscript"/>
            <w:rtl w:val="0"/>
          </w:rPr>
          <w:t xml:space="preserve">39</w:t>
        </w:r>
      </w:hyperlink>
      <w:r w:rsidDel="00000000" w:rsidR="00000000" w:rsidRPr="00000000">
        <w:rPr>
          <w:rFonts w:ascii="Calibri" w:cs="Calibri" w:eastAsia="Calibri" w:hAnsi="Calibri"/>
          <w:sz w:val="22"/>
          <w:szCs w:val="22"/>
          <w:rtl w:val="0"/>
        </w:rPr>
        <w:t xml:space="preserve">, 44.2</w:t>
      </w:r>
      <w:hyperlink w:anchor="bookmark=id.2zbgiuw">
        <w:r w:rsidDel="00000000" w:rsidR="00000000" w:rsidRPr="00000000">
          <w:rPr>
            <w:rFonts w:ascii="Calibri" w:cs="Calibri" w:eastAsia="Calibri" w:hAnsi="Calibri"/>
            <w:sz w:val="22"/>
            <w:szCs w:val="22"/>
            <w:vertAlign w:val="superscript"/>
            <w:rtl w:val="0"/>
          </w:rPr>
          <w:t xml:space="preserve">40</w:t>
        </w:r>
      </w:hyperlink>
      <w:r w:rsidDel="00000000" w:rsidR="00000000" w:rsidRPr="00000000">
        <w:rPr>
          <w:rFonts w:ascii="Calibri" w:cs="Calibri" w:eastAsia="Calibri" w:hAnsi="Calibri"/>
          <w:sz w:val="22"/>
          <w:szCs w:val="22"/>
          <w:vertAlign w:val="superscript"/>
          <w:rtl w:val="0"/>
        </w:rPr>
        <w:t xml:space="preserve"> </w:t>
      </w:r>
      <w:r w:rsidDel="00000000" w:rsidR="00000000" w:rsidRPr="00000000">
        <w:rPr>
          <w:rFonts w:ascii="Calibri" w:cs="Calibri" w:eastAsia="Calibri" w:hAnsi="Calibri"/>
          <w:sz w:val="22"/>
          <w:szCs w:val="22"/>
          <w:rtl w:val="0"/>
        </w:rPr>
        <w:t xml:space="preserve">y 44.3</w:t>
      </w:r>
      <w:hyperlink w:anchor="bookmark=id.1egqt2p">
        <w:r w:rsidDel="00000000" w:rsidR="00000000" w:rsidRPr="00000000">
          <w:rPr>
            <w:rFonts w:ascii="Calibri" w:cs="Calibri" w:eastAsia="Calibri" w:hAnsi="Calibri"/>
            <w:sz w:val="22"/>
            <w:szCs w:val="22"/>
            <w:vertAlign w:val="superscript"/>
            <w:rtl w:val="0"/>
          </w:rPr>
          <w:t xml:space="preserve">41</w:t>
        </w:r>
      </w:hyperlink>
      <w:r w:rsidDel="00000000" w:rsidR="00000000" w:rsidRPr="00000000">
        <w:rPr>
          <w:rFonts w:ascii="Calibri" w:cs="Calibri" w:eastAsia="Calibri" w:hAnsi="Calibri"/>
          <w:sz w:val="22"/>
          <w:szCs w:val="22"/>
          <w:rtl w:val="0"/>
        </w:rPr>
        <w:t xml:space="preserve">), la LGPD estableció en su Segunda Disposición Complementaria Final la creación de una Comisión Especial encargada de revisar el Código Civil en materia de ejercicio de la capacidad jurídica de la persona con discapacidad y formular un anteproyecto de ley al respecto.</w:t>
      </w:r>
      <w:hyperlink w:anchor="bookmark=id.3ygebqi">
        <w:r w:rsidDel="00000000" w:rsidR="00000000" w:rsidRPr="00000000">
          <w:rPr>
            <w:rFonts w:ascii="Calibri" w:cs="Calibri" w:eastAsia="Calibri" w:hAnsi="Calibri"/>
            <w:sz w:val="22"/>
            <w:szCs w:val="22"/>
            <w:vertAlign w:val="superscript"/>
            <w:rtl w:val="0"/>
          </w:rPr>
          <w:t xml:space="preserve">42</w:t>
        </w:r>
      </w:hyperlink>
      <w:r w:rsidDel="00000000" w:rsidR="00000000" w:rsidRPr="00000000">
        <w:rPr>
          <w:rFonts w:ascii="Calibri" w:cs="Calibri" w:eastAsia="Calibri" w:hAnsi="Calibri"/>
          <w:sz w:val="22"/>
          <w:szCs w:val="22"/>
          <w:rtl w:val="0"/>
        </w:rPr>
        <w:t xml:space="preserve"> La reforma fue impulsada entonces por la LGPD en el 2012 y se aprobó en el 2018. En los seis años que esta se debatió es posible referir tres procesos jurídicos: el judicial, el de la política pública y el legislativo.</w:t>
      </w:r>
    </w:p>
    <w:p w:rsidR="00000000" w:rsidDel="00000000" w:rsidP="00000000" w:rsidRDefault="00000000" w:rsidRPr="00000000" w14:paraId="00000046">
      <w:pPr>
        <w:pBdr>
          <w:top w:space="0" w:sz="0" w:val="nil"/>
          <w:left w:space="0" w:sz="0" w:val="nil"/>
          <w:bottom w:space="0" w:sz="0" w:val="nil"/>
          <w:right w:space="0" w:sz="0" w:val="nil"/>
          <w:between w:space="0" w:sz="0" w:val="nil"/>
        </w:pBdr>
        <w:spacing w:after="180"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relación con el primero, si bien no fueron muchos los jueces que se atrevieron a inaplicar el Código Civil dando preferencia a la CDPD - en el Perú los tratados de derechos humanos detentan rango constitucional y pueden servir como parámetro para la realización de control difuso-</w:t>
      </w:r>
      <w:hyperlink w:anchor="bookmark=id.2dlolyb">
        <w:r w:rsidDel="00000000" w:rsidR="00000000" w:rsidRPr="00000000">
          <w:rPr>
            <w:rFonts w:ascii="Calibri" w:cs="Calibri" w:eastAsia="Calibri" w:hAnsi="Calibri"/>
            <w:sz w:val="22"/>
            <w:szCs w:val="22"/>
            <w:vertAlign w:val="superscript"/>
            <w:rtl w:val="0"/>
          </w:rPr>
          <w:t xml:space="preserve">43</w:t>
        </w:r>
      </w:hyperlink>
      <w:r w:rsidDel="00000000" w:rsidR="00000000" w:rsidRPr="00000000">
        <w:rPr>
          <w:rFonts w:ascii="Calibri" w:cs="Calibri" w:eastAsia="Calibri" w:hAnsi="Calibri"/>
          <w:sz w:val="22"/>
          <w:szCs w:val="22"/>
          <w:rtl w:val="0"/>
        </w:rPr>
        <w:t xml:space="preserve"> es posible mencionar dos casos importantes que se resolvieron en paralelo al proceso de reforma.</w:t>
      </w:r>
    </w:p>
    <w:p w:rsidR="00000000" w:rsidDel="00000000" w:rsidP="00000000" w:rsidRDefault="00000000" w:rsidRPr="00000000" w14:paraId="00000047">
      <w:pPr>
        <w:pBdr>
          <w:top w:space="0" w:sz="0" w:val="nil"/>
          <w:left w:space="0" w:sz="0" w:val="nil"/>
          <w:bottom w:space="0" w:sz="0" w:val="nil"/>
          <w:right w:space="0" w:sz="0" w:val="nil"/>
          <w:between w:space="0" w:sz="0" w:val="nil"/>
        </w:pBdr>
        <w:spacing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2014, el juez Jorge Ramírez Niño de Guzmán, en el marco de una demanda de amparo, consideró que el proceso de curatela - que contaba incluso con sentencia de casación de la Corte Suprema - violaba el debido proceso debido a que la persona declarada incapaz no había podido escoger su abogado ni dar testimonio; y declaró la nulidad de todo lo actuado.</w:t>
      </w:r>
      <w:hyperlink w:anchor="bookmark=id.sqyw64">
        <w:r w:rsidDel="00000000" w:rsidR="00000000" w:rsidRPr="00000000">
          <w:rPr>
            <w:rFonts w:ascii="Calibri" w:cs="Calibri" w:eastAsia="Calibri" w:hAnsi="Calibri"/>
            <w:sz w:val="22"/>
            <w:szCs w:val="22"/>
            <w:vertAlign w:val="superscript"/>
            <w:rtl w:val="0"/>
          </w:rPr>
          <w:t xml:space="preserve">44</w:t>
        </w:r>
      </w:hyperlink>
      <w:r w:rsidDel="00000000" w:rsidR="00000000" w:rsidRPr="00000000">
        <w:rPr>
          <w:rFonts w:ascii="Calibri" w:cs="Calibri" w:eastAsia="Calibri" w:hAnsi="Calibri"/>
          <w:sz w:val="22"/>
          <w:szCs w:val="22"/>
          <w:rtl w:val="0"/>
        </w:rPr>
        <w:t xml:space="preserve"> Si bien la decisión no estuvo fundamentada en el artículo 12 de la CDPD, pone en evidencia uno de los muchos problemas de indefensión que el sistema de sustitución de la voluntad generaba. El fallo fue confirmado por la Tercera Sala Civil de Lima en el 2018.</w:t>
      </w:r>
      <w:hyperlink w:anchor="bookmark=id.3cqmetx">
        <w:r w:rsidDel="00000000" w:rsidR="00000000" w:rsidRPr="00000000">
          <w:rPr>
            <w:rFonts w:ascii="Calibri" w:cs="Calibri" w:eastAsia="Calibri" w:hAnsi="Calibri"/>
            <w:sz w:val="22"/>
            <w:szCs w:val="22"/>
            <w:vertAlign w:val="superscript"/>
            <w:rtl w:val="0"/>
          </w:rPr>
          <w:t xml:space="preserve">45</w:t>
        </w:r>
      </w:hyperlink>
      <w:r w:rsidDel="00000000" w:rsidR="00000000" w:rsidRPr="00000000">
        <w:rPr>
          <w:rtl w:val="0"/>
        </w:rPr>
      </w:r>
    </w:p>
    <w:p w:rsidR="00000000" w:rsidDel="00000000" w:rsidP="00000000" w:rsidRDefault="00000000" w:rsidRPr="00000000" w14:paraId="00000048">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color w:val="0d0d0d"/>
          <w:sz w:val="22"/>
          <w:szCs w:val="22"/>
        </w:rPr>
      </w:pPr>
      <w:r w:rsidDel="00000000" w:rsidR="00000000" w:rsidRPr="00000000">
        <w:rPr>
          <w:rFonts w:ascii="Calibri" w:cs="Calibri" w:eastAsia="Calibri" w:hAnsi="Calibri"/>
          <w:b w:val="1"/>
          <w:color w:val="0d0d0d"/>
          <w:sz w:val="22"/>
          <w:szCs w:val="22"/>
          <w:highlight w:val="white"/>
          <w:rtl w:val="0"/>
        </w:rPr>
        <w:t xml:space="preserve">Inicio página 45</w:t>
      </w:r>
      <w:r w:rsidDel="00000000" w:rsidR="00000000" w:rsidRPr="00000000">
        <w:rPr>
          <w:rtl w:val="0"/>
        </w:rPr>
      </w:r>
    </w:p>
    <w:p w:rsidR="00000000" w:rsidDel="00000000" w:rsidP="00000000" w:rsidRDefault="00000000" w:rsidRPr="00000000" w14:paraId="00000049">
      <w:pPr>
        <w:pBdr>
          <w:top w:space="0" w:sz="0" w:val="nil"/>
          <w:left w:space="0" w:sz="0" w:val="nil"/>
          <w:bottom w:space="0" w:sz="0" w:val="nil"/>
          <w:right w:space="0" w:sz="0" w:val="nil"/>
          <w:between w:space="0" w:sz="0" w:val="nil"/>
        </w:pBdr>
        <w:spacing w:after="180"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otro lado, en el 2015, el juez Edwin Béjar, en Cusco, en el marco de un proceso de curatela para dos hermanos con discapacidad intelectual para el cobro de una pensión consideró que el requisito de interdicción 46</w:t>
      </w:r>
      <w:hyperlink w:anchor="bookmark=id.1rvwp1q">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resultaba contrario al artículo 12 de la CDPD.</w:t>
      </w:r>
      <w:hyperlink w:anchor="bookmark=id.4bvk7pj">
        <w:r w:rsidDel="00000000" w:rsidR="00000000" w:rsidRPr="00000000">
          <w:rPr>
            <w:rFonts w:ascii="Calibri" w:cs="Calibri" w:eastAsia="Calibri" w:hAnsi="Calibri"/>
            <w:sz w:val="22"/>
            <w:szCs w:val="22"/>
            <w:vertAlign w:val="superscript"/>
            <w:rtl w:val="0"/>
          </w:rPr>
          <w:t xml:space="preserve">47</w:t>
        </w:r>
      </w:hyperlink>
      <w:hyperlink w:anchor="bookmark=id.4bvk7pj">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Como consecuencia realizó control difuso del Código Civil, inaplicando las normas referidas al régimen de incapacidad, y ordenó el pago de la pensión sin necesidad de requerir un curador. Además, la decisión creó un "sistema temporal de apoyo para la toma de decisiones" para los dos hermanos, confirmado por su madre, hermana y el equipo multidisciplinario del Juzgado.</w:t>
      </w:r>
      <w:hyperlink w:anchor="bookmark=id.2r0uhxc">
        <w:r w:rsidDel="00000000" w:rsidR="00000000" w:rsidRPr="00000000">
          <w:rPr>
            <w:rFonts w:ascii="Calibri" w:cs="Calibri" w:eastAsia="Calibri" w:hAnsi="Calibri"/>
            <w:sz w:val="22"/>
            <w:szCs w:val="22"/>
            <w:vertAlign w:val="superscript"/>
            <w:rtl w:val="0"/>
          </w:rPr>
          <w:t xml:space="preserve">48</w:t>
        </w:r>
      </w:hyperlink>
      <w:r w:rsidDel="00000000" w:rsidR="00000000" w:rsidRPr="00000000">
        <w:rPr>
          <w:rFonts w:ascii="Calibri" w:cs="Calibri" w:eastAsia="Calibri" w:hAnsi="Calibri"/>
          <w:sz w:val="22"/>
          <w:szCs w:val="22"/>
          <w:rtl w:val="0"/>
        </w:rPr>
        <w:t xml:space="preserve"> En 2017, la Sala de Derecho Constitucional y Social Permanente de la Corte Suprema, en sentencia sobre la Consulta 1833-2017</w:t>
      </w:r>
      <w:hyperlink w:anchor="bookmark=id.1664s55">
        <w:r w:rsidDel="00000000" w:rsidR="00000000" w:rsidRPr="00000000">
          <w:rPr>
            <w:rFonts w:ascii="Calibri" w:cs="Calibri" w:eastAsia="Calibri" w:hAnsi="Calibri"/>
            <w:sz w:val="22"/>
            <w:szCs w:val="22"/>
            <w:vertAlign w:val="superscript"/>
            <w:rtl w:val="0"/>
          </w:rPr>
          <w:t xml:space="preserve">49</w:t>
        </w:r>
      </w:hyperlink>
      <w:r w:rsidDel="00000000" w:rsidR="00000000" w:rsidRPr="00000000">
        <w:rPr>
          <w:rFonts w:ascii="Calibri" w:cs="Calibri" w:eastAsia="Calibri" w:hAnsi="Calibri"/>
          <w:sz w:val="22"/>
          <w:szCs w:val="22"/>
          <w:rtl w:val="0"/>
        </w:rPr>
        <w:t xml:space="preserve">, revocó la decisión por considerar que la capacidad jurídica de la CDPD estaba referida a la capacidad de goce y no a la de ejercicio, y que la interdicción era constitucional y compatible con la CDPD. Tal falta de entendimiento sobre la CDPD ha sido una constante en la magistratura peruana hasta hace poco.</w:t>
      </w:r>
      <w:hyperlink w:anchor="bookmark=id.3q5sasy">
        <w:r w:rsidDel="00000000" w:rsidR="00000000" w:rsidRPr="00000000">
          <w:rPr>
            <w:rFonts w:ascii="Calibri" w:cs="Calibri" w:eastAsia="Calibri" w:hAnsi="Calibri"/>
            <w:sz w:val="22"/>
            <w:szCs w:val="22"/>
            <w:vertAlign w:val="superscript"/>
            <w:rtl w:val="0"/>
          </w:rPr>
          <w:t xml:space="preserve">50</w:t>
        </w:r>
      </w:hyperlink>
      <w:r w:rsidDel="00000000" w:rsidR="00000000" w:rsidRPr="00000000">
        <w:rPr>
          <w:rtl w:val="0"/>
        </w:rPr>
      </w:r>
    </w:p>
    <w:p w:rsidR="00000000" w:rsidDel="00000000" w:rsidP="00000000" w:rsidRDefault="00000000" w:rsidRPr="00000000" w14:paraId="0000004A">
      <w:pPr>
        <w:pBdr>
          <w:top w:space="0" w:sz="0" w:val="nil"/>
          <w:left w:space="0" w:sz="0" w:val="nil"/>
          <w:bottom w:space="0" w:sz="0" w:val="nil"/>
          <w:right w:space="0" w:sz="0" w:val="nil"/>
          <w:between w:space="0" w:sz="0" w:val="nil"/>
        </w:pBdr>
        <w:spacing w:line="360" w:lineRule="auto"/>
        <w:ind w:left="0" w:firstLine="0"/>
        <w:jc w:val="both"/>
        <w:rPr>
          <w:rFonts w:ascii="Calibri" w:cs="Calibri" w:eastAsia="Calibri" w:hAnsi="Calibri"/>
          <w:sz w:val="22"/>
          <w:szCs w:val="22"/>
          <w:vertAlign w:val="superscript"/>
        </w:rPr>
      </w:pPr>
      <w:r w:rsidDel="00000000" w:rsidR="00000000" w:rsidRPr="00000000">
        <w:rPr>
          <w:rFonts w:ascii="Calibri" w:cs="Calibri" w:eastAsia="Calibri" w:hAnsi="Calibri"/>
          <w:sz w:val="22"/>
          <w:szCs w:val="22"/>
          <w:rtl w:val="0"/>
        </w:rPr>
        <w:t xml:space="preserve">Por otro lado, en el ámbito de la política pública se fueron implementando medidas de apoyo desde antes de la reforma. Así en el marco del programa "Contigo" se decidió instaurar una política de apoyos.</w:t>
      </w:r>
      <w:hyperlink w:anchor="bookmark=id.25b2l0r">
        <w:r w:rsidDel="00000000" w:rsidR="00000000" w:rsidRPr="00000000">
          <w:rPr>
            <w:rFonts w:ascii="Calibri" w:cs="Calibri" w:eastAsia="Calibri" w:hAnsi="Calibri"/>
            <w:sz w:val="22"/>
            <w:szCs w:val="22"/>
            <w:vertAlign w:val="superscript"/>
            <w:rtl w:val="0"/>
          </w:rPr>
          <w:t xml:space="preserve">51</w:t>
        </w:r>
      </w:hyperlink>
      <w:hyperlink w:anchor="bookmark=id.25b2l0r">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El programa "Contigo" tiene como objetivo otorgar una pensión a las personas con discapacidad severa que vivan en situación de pobreza. La mayor parte de estas personas, por el método de calificación, viven en zonas rurales por lo que acudir al sistema de interdicción no era viable porque el proceso judicial era muy costoso para una familia pobre y muy largo. En vista de ello, el Ministerio de Desarrollo e Inclusión Social estipuló que otra persona puede recibir el dinero, si es que luego puede probar que el dinero se utilizó para cuidado de la persona con discapacidad.</w:t>
      </w:r>
      <w:hyperlink w:anchor="bookmark=id.kgcv8k">
        <w:r w:rsidDel="00000000" w:rsidR="00000000" w:rsidRPr="00000000">
          <w:rPr>
            <w:rFonts w:ascii="Calibri" w:cs="Calibri" w:eastAsia="Calibri" w:hAnsi="Calibri"/>
            <w:sz w:val="22"/>
            <w:szCs w:val="22"/>
            <w:vertAlign w:val="superscript"/>
            <w:rtl w:val="0"/>
          </w:rPr>
          <w:t xml:space="preserve">52</w:t>
        </w:r>
      </w:hyperlink>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spacing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Finalmente, en el plano legislativo, la Comisión Especial Revisora (CEDIS) se constituyó en el 2014 y trabajó durante poco más de un año para elaborar un proyecto de reforma.</w:t>
      </w:r>
      <w:hyperlink w:anchor="bookmark=id.34g0dwd">
        <w:r w:rsidDel="00000000" w:rsidR="00000000" w:rsidRPr="00000000">
          <w:rPr>
            <w:rFonts w:ascii="Calibri" w:cs="Calibri" w:eastAsia="Calibri" w:hAnsi="Calibri"/>
            <w:sz w:val="22"/>
            <w:szCs w:val="22"/>
            <w:vertAlign w:val="superscript"/>
            <w:rtl w:val="0"/>
          </w:rPr>
          <w:t xml:space="preserve">53</w:t>
        </w:r>
      </w:hyperlink>
      <w:r w:rsidDel="00000000" w:rsidR="00000000" w:rsidRPr="00000000">
        <w:rPr>
          <w:rFonts w:ascii="Calibri" w:cs="Calibri" w:eastAsia="Calibri" w:hAnsi="Calibri"/>
          <w:sz w:val="22"/>
          <w:szCs w:val="22"/>
          <w:rtl w:val="0"/>
        </w:rPr>
        <w:t xml:space="preserve"> Aunque el proyecto legislativo inicial fue archivado, fue ampliado y retomado en el 2016 como proyecto multipartidario (872/2016) acompañado de un fuerte impulso de la sociedad civil a través de encuentros con congresistas, asesores y funcionarios públicos en general. Tanto la Defensoría del Pueblo, como el Ministerio de Justicia y Derechos Humanos, el Ministerio de la Mujer y Poblaciones Vulnerables y el Ministerio de Relaciones Exteriores enviaron informes positivos sobre el proyecto. Asimismo, académicos de diferentes instancias también se hicieron presentes. Sin embargo, no se pudo lograr un consenso en el ámbito parlamentario. Por ello, en mayo de 2018, el Ejecutivo solicitó competencias para legislar en la materia, las cuales fueron otorgadas por el Congreso.</w:t>
      </w:r>
      <w:hyperlink w:anchor="bookmark=id.1jlao46">
        <w:r w:rsidDel="00000000" w:rsidR="00000000" w:rsidRPr="00000000">
          <w:rPr>
            <w:rFonts w:ascii="Calibri" w:cs="Calibri" w:eastAsia="Calibri" w:hAnsi="Calibri"/>
            <w:sz w:val="22"/>
            <w:szCs w:val="22"/>
            <w:vertAlign w:val="superscript"/>
            <w:rtl w:val="0"/>
          </w:rPr>
          <w:t xml:space="preserve">54</w:t>
        </w:r>
      </w:hyperlink>
      <w:r w:rsidDel="00000000" w:rsidR="00000000" w:rsidRPr="00000000">
        <w:rPr>
          <w:rFonts w:ascii="Calibri" w:cs="Calibri" w:eastAsia="Calibri" w:hAnsi="Calibri"/>
          <w:sz w:val="22"/>
          <w:szCs w:val="22"/>
          <w:rtl w:val="0"/>
        </w:rPr>
        <w:t xml:space="preserve"> Como consecuencia de ello, se publicó el Decreto Legislativo 1384 en septiembre de 2018.</w:t>
      </w:r>
    </w:p>
    <w:p w:rsidR="00000000" w:rsidDel="00000000" w:rsidP="00000000" w:rsidRDefault="00000000" w:rsidRPr="00000000" w14:paraId="0000004C">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0d0d0d"/>
          <w:sz w:val="22"/>
          <w:szCs w:val="22"/>
          <w:highlight w:val="white"/>
          <w:rtl w:val="0"/>
        </w:rPr>
        <w:t xml:space="preserve">Inicio página 46</w:t>
      </w:r>
      <w:r w:rsidDel="00000000" w:rsidR="00000000" w:rsidRPr="00000000">
        <w:rPr>
          <w:rtl w:val="0"/>
        </w:rPr>
      </w:r>
    </w:p>
    <w:p w:rsidR="00000000" w:rsidDel="00000000" w:rsidP="00000000" w:rsidRDefault="00000000" w:rsidRPr="00000000" w14:paraId="0000004D">
      <w:pPr>
        <w:pBdr>
          <w:top w:space="0" w:sz="0" w:val="nil"/>
          <w:left w:space="0" w:sz="0" w:val="nil"/>
          <w:bottom w:space="0" w:sz="0" w:val="nil"/>
          <w:right w:space="0" w:sz="0" w:val="nil"/>
          <w:between w:space="0" w:sz="0" w:val="nil"/>
        </w:pBdr>
        <w:spacing w:after="326"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Dicha norma pone fin a un periodo que podríamos denominar de “autorregulación” de los apoyos, apostando por un modelo centralizado y de efectos generales. No obstante, la norma también implica el inicio de un proceso de implementación complejo, pues son varios los aspectos que ameritan una reflexión y debate. A ellos nos referiremos a continuación.</w:t>
      </w:r>
    </w:p>
    <w:p w:rsidR="00000000" w:rsidDel="00000000" w:rsidP="00000000" w:rsidRDefault="00000000" w:rsidRPr="00000000" w14:paraId="0000004E">
      <w:pPr>
        <w:numPr>
          <w:ilvl w:val="0"/>
          <w:numId w:val="2"/>
        </w:numPr>
        <w:pBdr>
          <w:top w:space="0" w:sz="0" w:val="nil"/>
          <w:left w:space="0" w:sz="0" w:val="nil"/>
          <w:bottom w:space="0" w:sz="0" w:val="nil"/>
          <w:right w:space="0" w:sz="0" w:val="nil"/>
          <w:between w:space="0" w:sz="0" w:val="nil"/>
        </w:pBdr>
        <w:spacing w:after="162"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 EL DECRETO LEGISLATIVO 1384: REGULACIONES GENERALES</w:t>
      </w:r>
      <w:r w:rsidDel="00000000" w:rsidR="00000000" w:rsidRPr="00000000">
        <w:rPr>
          <w:rtl w:val="0"/>
        </w:rPr>
      </w:r>
    </w:p>
    <w:p w:rsidR="00000000" w:rsidDel="00000000" w:rsidP="00000000" w:rsidRDefault="00000000" w:rsidRPr="00000000" w14:paraId="0000004F">
      <w:pPr>
        <w:pBdr>
          <w:top w:space="0" w:sz="0" w:val="nil"/>
          <w:left w:space="0" w:sz="0" w:val="nil"/>
          <w:bottom w:space="0" w:sz="0" w:val="nil"/>
          <w:right w:space="0" w:sz="0" w:val="nil"/>
          <w:between w:space="0" w:sz="0" w:val="nil"/>
        </w:pBdr>
        <w:spacing w:after="180"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Decreto Legislativo 1384 implementa y desarrolla el artículo 12 de la CDPD y 9 de la LGPD. Dicha norma parte de una presunción de capacidad jurídica, que se ve reflejada en los artículos 3</w:t>
      </w:r>
      <w:hyperlink w:anchor="bookmark=id.2iq8gzs">
        <w:r w:rsidDel="00000000" w:rsidR="00000000" w:rsidRPr="00000000">
          <w:rPr>
            <w:rFonts w:ascii="Calibri" w:cs="Calibri" w:eastAsia="Calibri" w:hAnsi="Calibri"/>
            <w:sz w:val="22"/>
            <w:szCs w:val="22"/>
            <w:vertAlign w:val="superscript"/>
            <w:rtl w:val="0"/>
          </w:rPr>
          <w:t xml:space="preserve">55</w:t>
        </w:r>
      </w:hyperlink>
      <w:hyperlink w:anchor="bookmark=id.2iq8gzs">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y 42</w:t>
      </w:r>
      <w:hyperlink w:anchor="bookmark=id.xvir7l">
        <w:r w:rsidDel="00000000" w:rsidR="00000000" w:rsidRPr="00000000">
          <w:rPr>
            <w:rFonts w:ascii="Calibri" w:cs="Calibri" w:eastAsia="Calibri" w:hAnsi="Calibri"/>
            <w:sz w:val="22"/>
            <w:szCs w:val="22"/>
            <w:vertAlign w:val="superscript"/>
            <w:rtl w:val="0"/>
          </w:rPr>
          <w:t xml:space="preserve">56</w:t>
        </w:r>
      </w:hyperlink>
      <w:r w:rsidDel="00000000" w:rsidR="00000000" w:rsidRPr="00000000">
        <w:rPr>
          <w:rFonts w:ascii="Calibri" w:cs="Calibri" w:eastAsia="Calibri" w:hAnsi="Calibri"/>
          <w:sz w:val="22"/>
          <w:szCs w:val="22"/>
          <w:rtl w:val="0"/>
        </w:rPr>
        <w:t xml:space="preserve">, y elimina la interdicción por motivos asociados a la discapacidad. En ese sentido eliminó del Código Civil los supuestos de incapacidad de “los que por cualquier causa se encuentren privados de discernimiento” (artículo 43.2 derogado), “los retardados mentales” (artículo 44.2 derogado) y “los que adolecen de deterioro mental que les impide expresar su libre voluntad” (artículo 44.3 derogado),</w:t>
      </w:r>
      <w:hyperlink w:anchor="bookmark=id.3hv69ve">
        <w:r w:rsidDel="00000000" w:rsidR="00000000" w:rsidRPr="00000000">
          <w:rPr>
            <w:rFonts w:ascii="Calibri" w:cs="Calibri" w:eastAsia="Calibri" w:hAnsi="Calibri"/>
            <w:sz w:val="22"/>
            <w:szCs w:val="22"/>
            <w:vertAlign w:val="superscript"/>
            <w:rtl w:val="0"/>
          </w:rPr>
          <w:t xml:space="preserve">57</w:t>
        </w:r>
      </w:hyperlink>
      <w:r w:rsidDel="00000000" w:rsidR="00000000" w:rsidRPr="00000000">
        <w:rPr>
          <w:rFonts w:ascii="Calibri" w:cs="Calibri" w:eastAsia="Calibri" w:hAnsi="Calibri"/>
          <w:sz w:val="22"/>
          <w:szCs w:val="22"/>
          <w:rtl w:val="0"/>
        </w:rPr>
        <w:t xml:space="preserve"> y añadió como persona con capacidad de ejercicio restringida a quien se encuentre en estado de coma y no haya designado apoyos previamente (artículo 44.9).</w:t>
      </w:r>
    </w:p>
    <w:p w:rsidR="00000000" w:rsidDel="00000000" w:rsidP="00000000" w:rsidRDefault="00000000" w:rsidRPr="00000000" w14:paraId="00000050">
      <w:pPr>
        <w:pBdr>
          <w:top w:space="0" w:sz="0" w:val="nil"/>
          <w:left w:space="0" w:sz="0" w:val="nil"/>
          <w:bottom w:space="0" w:sz="0" w:val="nil"/>
          <w:right w:space="0" w:sz="0" w:val="nil"/>
          <w:between w:space="0" w:sz="0" w:val="nil"/>
        </w:pBdr>
        <w:spacing w:after="180"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Asimismo, la norma establece que las personas con discapacidad que requieran apoyos para el ejercicio de su capacidad jurídica puede solicitarlos o designarlos de acuerdo a su libre elección por trámite judicial o notarial (artículo 45). La propia persona con discapacidad será la que determine la forma, identidad, alcance, duración y cantidad del apoyo (artículo 659-C), que puede recaer en personas naturales, instituciones públicas o personas jurídicas sin fines de lucro, pudiendo también ser una o varias personas las que cumplan el rol del apoyo.</w:t>
      </w:r>
    </w:p>
    <w:p w:rsidR="00000000" w:rsidDel="00000000" w:rsidP="00000000" w:rsidRDefault="00000000" w:rsidRPr="00000000" w14:paraId="00000051">
      <w:pPr>
        <w:pBdr>
          <w:top w:space="0" w:sz="0" w:val="nil"/>
          <w:left w:space="0" w:sz="0" w:val="nil"/>
          <w:bottom w:space="0" w:sz="0" w:val="nil"/>
          <w:right w:space="0" w:sz="0" w:val="nil"/>
          <w:between w:space="0" w:sz="0" w:val="nil"/>
        </w:pBdr>
        <w:spacing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 bien la regulación del régimen transitorio en el Decreto Legislativo 1384 no fue clara</w:t>
      </w:r>
      <w:hyperlink w:anchor="bookmark=id.1x0gk37">
        <w:r w:rsidDel="00000000" w:rsidR="00000000" w:rsidRPr="00000000">
          <w:rPr>
            <w:rFonts w:ascii="Calibri" w:cs="Calibri" w:eastAsia="Calibri" w:hAnsi="Calibri"/>
            <w:sz w:val="22"/>
            <w:szCs w:val="22"/>
            <w:vertAlign w:val="superscript"/>
            <w:rtl w:val="0"/>
          </w:rPr>
          <w:t xml:space="preserve">58</w:t>
        </w:r>
      </w:hyperlink>
      <w:r w:rsidDel="00000000" w:rsidR="00000000" w:rsidRPr="00000000">
        <w:rPr>
          <w:rFonts w:ascii="Calibri" w:cs="Calibri" w:eastAsia="Calibri" w:hAnsi="Calibri"/>
          <w:sz w:val="22"/>
          <w:szCs w:val="22"/>
          <w:rtl w:val="0"/>
        </w:rPr>
        <w:t xml:space="preserve">, el Poder Judicial entendió que el Decreto Legislativo 1384 no restituía automática de capacidad jurídica, y adoptó un Reglamento de Transición al Sistema de Apoyos en Observancia al Modelo Social de la Discapacidad.</w:t>
      </w:r>
      <w:hyperlink w:anchor="bookmark=id.2w5ecyt">
        <w:r w:rsidDel="00000000" w:rsidR="00000000" w:rsidRPr="00000000">
          <w:rPr>
            <w:rFonts w:ascii="Calibri" w:cs="Calibri" w:eastAsia="Calibri" w:hAnsi="Calibri"/>
            <w:sz w:val="22"/>
            <w:szCs w:val="22"/>
            <w:vertAlign w:val="superscript"/>
            <w:rtl w:val="0"/>
          </w:rPr>
          <w:t xml:space="preserve">59</w:t>
        </w:r>
      </w:hyperlink>
      <w:r w:rsidDel="00000000" w:rsidR="00000000" w:rsidRPr="00000000">
        <w:rPr>
          <w:rFonts w:ascii="Calibri" w:cs="Calibri" w:eastAsia="Calibri" w:hAnsi="Calibri"/>
          <w:sz w:val="22"/>
          <w:szCs w:val="22"/>
          <w:rtl w:val="0"/>
        </w:rPr>
        <w:t xml:space="preserve"> Desde nuestra perspectiva, esta posición fue adecuada, pues haber asumido la restitución automática de la capacidad jurídica hubiese sido perjudicial. De acuerdo con lo señalado por jueces en diferentes capacitaciones, la principal razón por las que se solicita la curatela de familiares con discapacidad, es para tramitar pensiones.</w:t>
      </w:r>
      <w:hyperlink w:anchor="bookmark=id.1baon6m">
        <w:r w:rsidDel="00000000" w:rsidR="00000000" w:rsidRPr="00000000">
          <w:rPr>
            <w:rFonts w:ascii="Calibri" w:cs="Calibri" w:eastAsia="Calibri" w:hAnsi="Calibri"/>
            <w:sz w:val="22"/>
            <w:szCs w:val="22"/>
            <w:vertAlign w:val="superscript"/>
            <w:rtl w:val="0"/>
          </w:rPr>
          <w:t xml:space="preserve">60</w:t>
        </w:r>
      </w:hyperlink>
      <w:r w:rsidDel="00000000" w:rsidR="00000000" w:rsidRPr="00000000">
        <w:rPr>
          <w:rFonts w:ascii="Calibri" w:cs="Calibri" w:eastAsia="Calibri" w:hAnsi="Calibri"/>
          <w:sz w:val="22"/>
          <w:szCs w:val="22"/>
          <w:rtl w:val="0"/>
        </w:rPr>
        <w:t xml:space="preserve"> Asimismo, hemos seguido procesos de alimentos de personas con discapacidad que no pueden atender a su subsistencia por “incapacidad física o mental debidamente comprobadas” [sic] (artículo 424 del Código Civil) y sus demandas han sido declaradas inadmisibles por no haber sido presentadas por un curador o demandar alimentos para hijos mayores de edad. Aunque el Decreto Legislativo 1384, estableció un plazo de 120 días para que las entidades públicas y privadas adecuasen sus procedimientos administrativos a la norma (Segunda Disposición Complementaria Transitoria), a la fecha la oficina encargada del otorgamiento de pensiones no ha cumplido con dicha adecuación. Asumir una restitución automática de capacidad jurídica sin que la norma haya ordenado la modificación del registro público de interdicción o sin la modificación de las normas sectoriales, habría generado el cese del cobro de pensiones para un amplio número de personas con discapacidad.</w:t>
      </w:r>
    </w:p>
    <w:p w:rsidR="00000000" w:rsidDel="00000000" w:rsidP="00000000" w:rsidRDefault="00000000" w:rsidRPr="00000000" w14:paraId="00000052">
      <w:pPr>
        <w:pBdr>
          <w:top w:space="0" w:sz="0" w:val="nil"/>
          <w:left w:space="0" w:sz="0" w:val="nil"/>
          <w:bottom w:space="0" w:sz="0" w:val="nil"/>
          <w:right w:space="0" w:sz="0" w:val="nil"/>
          <w:between w:space="0" w:sz="0" w:val="nil"/>
        </w:pBdr>
        <w:spacing w:after="326"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presente acápite desarrollaremos los aspectos más importantes de la reforma y analizaremos su compatibilidad con el marco planteado en el punto 2 del presente artículo.</w:t>
      </w:r>
    </w:p>
    <w:p w:rsidR="00000000" w:rsidDel="00000000" w:rsidP="00000000" w:rsidRDefault="00000000" w:rsidRPr="00000000" w14:paraId="00000053">
      <w:pPr>
        <w:pBdr>
          <w:top w:space="0" w:sz="0" w:val="nil"/>
          <w:left w:space="0" w:sz="0" w:val="nil"/>
          <w:bottom w:space="0" w:sz="0" w:val="nil"/>
          <w:right w:space="0" w:sz="0" w:val="nil"/>
          <w:between w:space="0" w:sz="0" w:val="nil"/>
        </w:pBdr>
        <w:spacing w:after="326"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47</w:t>
      </w:r>
      <w:r w:rsidDel="00000000" w:rsidR="00000000" w:rsidRPr="00000000">
        <w:rPr>
          <w:rtl w:val="0"/>
        </w:rPr>
      </w:r>
    </w:p>
    <w:p w:rsidR="00000000" w:rsidDel="00000000" w:rsidP="00000000" w:rsidRDefault="00000000" w:rsidRPr="00000000" w14:paraId="00000054">
      <w:pPr>
        <w:pBdr>
          <w:top w:space="0" w:sz="0" w:val="nil"/>
          <w:left w:space="0" w:sz="0" w:val="nil"/>
          <w:bottom w:space="0" w:sz="0" w:val="nil"/>
          <w:right w:space="0" w:sz="0" w:val="nil"/>
          <w:between w:space="0" w:sz="0" w:val="nil"/>
        </w:pBdr>
        <w:spacing w:after="162"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4.1.- Las funciones de los apoyos</w:t>
      </w:r>
    </w:p>
    <w:p w:rsidR="00000000" w:rsidDel="00000000" w:rsidP="00000000" w:rsidRDefault="00000000" w:rsidRPr="00000000" w14:paraId="00000055">
      <w:pPr>
        <w:pBdr>
          <w:top w:space="0" w:sz="0" w:val="nil"/>
          <w:left w:space="0" w:sz="0" w:val="nil"/>
          <w:bottom w:space="0" w:sz="0" w:val="nil"/>
          <w:right w:space="0" w:sz="0" w:val="nil"/>
          <w:between w:space="0" w:sz="0" w:val="nil"/>
        </w:pBdr>
        <w:spacing w:after="257" w:line="360" w:lineRule="auto"/>
        <w:ind w:firstLine="760"/>
        <w:jc w:val="both"/>
        <w:rPr>
          <w:rFonts w:ascii="Calibri" w:cs="Calibri" w:eastAsia="Calibri" w:hAnsi="Calibri"/>
          <w:i w:val="1"/>
          <w:sz w:val="22"/>
          <w:szCs w:val="22"/>
        </w:rPr>
      </w:pPr>
      <w:r w:rsidDel="00000000" w:rsidR="00000000" w:rsidRPr="00000000">
        <w:rPr>
          <w:rFonts w:ascii="Calibri" w:cs="Calibri" w:eastAsia="Calibri" w:hAnsi="Calibri"/>
          <w:sz w:val="22"/>
          <w:szCs w:val="22"/>
          <w:rtl w:val="0"/>
        </w:rPr>
        <w:t xml:space="preserve">La definición de apoyo se encuentra prevista en el artículo 659-B del Decreto Legislativo 1384. Dicha norma establece que: </w:t>
      </w:r>
      <w:r w:rsidDel="00000000" w:rsidR="00000000" w:rsidRPr="00000000">
        <w:rPr>
          <w:rFonts w:ascii="Calibri" w:cs="Calibri" w:eastAsia="Calibri" w:hAnsi="Calibri"/>
          <w:i w:val="1"/>
          <w:sz w:val="22"/>
          <w:szCs w:val="22"/>
          <w:rtl w:val="0"/>
        </w:rPr>
        <w:t xml:space="preserve">“Los apoyos son formas de asistencia libremente elegidos por una persona mayor de edad para facilitar el ejercicio de sus derechos, incluyendo el apoyo en la comunicación, en la comprensión de los actos jurídicos y de las consecuencias de estos, y la manifestación e interpretación de la voluntad de quien requiere el apoyo.</w:t>
      </w:r>
      <w:r w:rsidDel="00000000" w:rsidR="00000000" w:rsidRPr="00000000">
        <w:rPr>
          <w:rFonts w:ascii="Calibri" w:cs="Calibri" w:eastAsia="Calibri" w:hAnsi="Calibri"/>
          <w:sz w:val="22"/>
          <w:szCs w:val="22"/>
          <w:rtl w:val="0"/>
        </w:rPr>
        <w:t xml:space="preserve"> </w:t>
      </w:r>
      <w:r w:rsidDel="00000000" w:rsidR="00000000" w:rsidRPr="00000000">
        <w:rPr>
          <w:rFonts w:ascii="Calibri" w:cs="Calibri" w:eastAsia="Calibri" w:hAnsi="Calibri"/>
          <w:i w:val="1"/>
          <w:sz w:val="22"/>
          <w:szCs w:val="22"/>
          <w:rtl w:val="0"/>
        </w:rPr>
        <w:t xml:space="preserve">El apoyo no tiene facultades de representación salvo en los casos en que ello se establezca expresamente por decisión de la persona con necesidad de apoyo o el juez en el caso del artículo 569-E. ”</w:t>
      </w:r>
    </w:p>
    <w:p w:rsidR="00000000" w:rsidDel="00000000" w:rsidP="00000000" w:rsidRDefault="00000000" w:rsidRPr="00000000" w14:paraId="00000056">
      <w:pPr>
        <w:pBdr>
          <w:top w:space="0" w:sz="0" w:val="nil"/>
          <w:left w:space="0" w:sz="0" w:val="nil"/>
          <w:bottom w:space="0" w:sz="0" w:val="nil"/>
          <w:right w:space="0" w:sz="0" w:val="nil"/>
          <w:between w:space="0" w:sz="0" w:val="nil"/>
        </w:pBdr>
        <w:spacing w:after="257"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Así, podemos concluir que los apoyos cumplen tres funciones: i) facilitar la comunicación para la celebración de un acto jurídico; ii) comprender el acto jurídico y la consecuencia de este; y iii) manifestar la voluntad de quien requiere el apoyo.</w:t>
      </w:r>
    </w:p>
    <w:p w:rsidR="00000000" w:rsidDel="00000000" w:rsidP="00000000" w:rsidRDefault="00000000" w:rsidRPr="00000000" w14:paraId="00000057">
      <w:pPr>
        <w:pBdr>
          <w:top w:space="0" w:sz="0" w:val="nil"/>
          <w:left w:space="0" w:sz="0" w:val="nil"/>
          <w:bottom w:space="0" w:sz="0" w:val="nil"/>
          <w:right w:space="0" w:sz="0" w:val="nil"/>
          <w:between w:space="0" w:sz="0" w:val="nil"/>
        </w:pBdr>
        <w:spacing w:after="180"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relación con lo primero, consideramos que la norma cae en una imprecisión, pues las medidas necesarias para la comunicación de una persona con discapacidad con un sistema de comunicación alternativa no deben considerarse apoyos, sino medidas de accesibilidad</w:t>
      </w:r>
      <w:hyperlink w:anchor="bookmark=id.3vac5uf">
        <w:r w:rsidDel="00000000" w:rsidR="00000000" w:rsidRPr="00000000">
          <w:rPr>
            <w:rFonts w:ascii="Calibri" w:cs="Calibri" w:eastAsia="Calibri" w:hAnsi="Calibri"/>
            <w:sz w:val="22"/>
            <w:szCs w:val="22"/>
            <w:vertAlign w:val="superscript"/>
            <w:rtl w:val="0"/>
          </w:rPr>
          <w:t xml:space="preserve">61</w:t>
        </w:r>
      </w:hyperlink>
      <w:hyperlink w:anchor="bookmark=id.3vac5uf">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o ajustes razonables</w:t>
      </w:r>
      <w:hyperlink w:anchor="bookmark=id.2afmg28">
        <w:r w:rsidDel="00000000" w:rsidR="00000000" w:rsidRPr="00000000">
          <w:rPr>
            <w:rFonts w:ascii="Calibri" w:cs="Calibri" w:eastAsia="Calibri" w:hAnsi="Calibri"/>
            <w:sz w:val="22"/>
            <w:szCs w:val="22"/>
            <w:vertAlign w:val="superscript"/>
            <w:rtl w:val="0"/>
          </w:rPr>
          <w:t xml:space="preserve">62</w:t>
        </w:r>
      </w:hyperlink>
      <w:r w:rsidDel="00000000" w:rsidR="00000000" w:rsidRPr="00000000">
        <w:rPr>
          <w:rFonts w:ascii="Calibri" w:cs="Calibri" w:eastAsia="Calibri" w:hAnsi="Calibri"/>
          <w:sz w:val="22"/>
          <w:szCs w:val="22"/>
          <w:rtl w:val="0"/>
        </w:rPr>
        <w:t xml:space="preserve">. Estas medidas, hay que dejarlo claro, deben estar presentes en todo proceso de toma de decisión (en línea con lo señalado en el artículo 659-E al que nos referiremos más adelante). No obstante, es importante recalcar que el artículo 659-B no establece una sustitución en la comunicación. Es decir, al señalar que los apoyos pueden incluir "apoyo en la comunicación”, se entiende que el apoyo deberá facilitar la comunicación, mas no hablar por la persona con discapacidad.</w:t>
      </w:r>
    </w:p>
    <w:p w:rsidR="00000000" w:rsidDel="00000000" w:rsidP="00000000" w:rsidRDefault="00000000" w:rsidRPr="00000000" w14:paraId="00000058">
      <w:pPr>
        <w:pBdr>
          <w:top w:space="0" w:sz="0" w:val="nil"/>
          <w:left w:space="0" w:sz="0" w:val="nil"/>
          <w:bottom w:space="0" w:sz="0" w:val="nil"/>
          <w:right w:space="0" w:sz="0" w:val="nil"/>
          <w:between w:space="0" w:sz="0" w:val="nil"/>
        </w:pBdr>
        <w:spacing w:after="180"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otro lado, en relación con la ayuda para la comprensión del acto jurídico y sus consecuencias, podríamos decir que esta es la función por excelencia del apoyo. El apoyo debe entablar un proceso de diálogo con la persona con discapacidad para ayudarla a comprender los alcances del acto jurídico que la persona desea realizar, y ponderar los posibles escenarios que surgen a partir de ello.</w:t>
      </w:r>
    </w:p>
    <w:p w:rsidR="00000000" w:rsidDel="00000000" w:rsidP="00000000" w:rsidRDefault="00000000" w:rsidRPr="00000000" w14:paraId="00000059">
      <w:pPr>
        <w:pBdr>
          <w:top w:space="0" w:sz="0" w:val="nil"/>
          <w:left w:space="0" w:sz="0" w:val="nil"/>
          <w:bottom w:space="0" w:sz="0" w:val="nil"/>
          <w:right w:space="0" w:sz="0" w:val="nil"/>
          <w:between w:space="0" w:sz="0" w:val="nil"/>
        </w:pBdr>
        <w:spacing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Respecto a la tercera función, referida a la manifestación e interpretación de la voluntad, esta debe ser entendida con bastante cautela. Si se lee atentamente el artículo 659-B, se advertirá que el encabezado plantea que los apoyos son libremente elegidos. En ese sentido, no podría interpretarse que una persona elige a un apoyo para que este interprete su voluntad y lo reemplace incluso si la persona con discapacidad manifiesta una voluntad contraria. Una correcta interpretación de este artículo sería por tanto que este resulta aplicable solo en dos supuestos: en el marco de la designación de un apoyo obligatorio (artículo 659-E al que nos referiremos más adelante) o en el supuesto de un apoyo designado anticipadamente al amparo de artículo 659-F, y que celebra el acto jurídico cuando la persona está imposibilitada de manifestar voluntad.</w:t>
      </w:r>
    </w:p>
    <w:p w:rsidR="00000000" w:rsidDel="00000000" w:rsidP="00000000" w:rsidRDefault="00000000" w:rsidRPr="00000000" w14:paraId="0000005A">
      <w:pPr>
        <w:pBdr>
          <w:top w:space="0" w:sz="0" w:val="nil"/>
          <w:left w:space="0" w:sz="0" w:val="nil"/>
          <w:bottom w:space="0" w:sz="0" w:val="nil"/>
          <w:right w:space="0" w:sz="0" w:val="nil"/>
          <w:between w:space="0" w:sz="0" w:val="nil"/>
        </w:pBdr>
        <w:spacing w:after="326" w:line="360" w:lineRule="auto"/>
        <w:ind w:firstLine="74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Ahora bien, como señalamos líneas arriba, la Relatora de Naciones Unidas para los derechos de personas con discapacidad, señaló cuatro funciones de los apoyos "a) obtener y entender información; b) evaluar las posibles alternativas a una decisión y sus consecuencias; c) expresar y comunicar una decisión; y/o d) ejecutar una decisión".</w:t>
      </w:r>
      <w:hyperlink w:anchor="bookmark=id.39kk8xu">
        <w:r w:rsidDel="00000000" w:rsidR="00000000" w:rsidRPr="00000000">
          <w:rPr>
            <w:rFonts w:ascii="Calibri" w:cs="Calibri" w:eastAsia="Calibri" w:hAnsi="Calibri"/>
            <w:sz w:val="22"/>
            <w:szCs w:val="22"/>
            <w:vertAlign w:val="superscript"/>
            <w:rtl w:val="0"/>
          </w:rPr>
          <w:t xml:space="preserve">63</w:t>
        </w:r>
      </w:hyperlink>
      <w:hyperlink w:anchor="bookmark=id.39kk8xu">
        <w:r w:rsidDel="00000000" w:rsidR="00000000" w:rsidRPr="00000000">
          <w:rPr>
            <w:rFonts w:ascii="Calibri" w:cs="Calibri" w:eastAsia="Calibri" w:hAnsi="Calibri"/>
            <w:sz w:val="22"/>
            <w:szCs w:val="22"/>
            <w:rtl w:val="0"/>
          </w:rPr>
          <w:t xml:space="preserve"> </w:t>
        </w:r>
      </w:hyperlink>
      <w:r w:rsidDel="00000000" w:rsidR="00000000" w:rsidRPr="00000000">
        <w:rPr>
          <w:rFonts w:ascii="Calibri" w:cs="Calibri" w:eastAsia="Calibri" w:hAnsi="Calibri"/>
          <w:sz w:val="22"/>
          <w:szCs w:val="22"/>
          <w:rtl w:val="0"/>
        </w:rPr>
        <w:t xml:space="preserve">Si comparamos estas funciones, tendríamos lo dispuesto en la Tabla 2:</w:t>
      </w:r>
    </w:p>
    <w:p w:rsidR="00000000" w:rsidDel="00000000" w:rsidP="00000000" w:rsidRDefault="00000000" w:rsidRPr="00000000" w14:paraId="0000005B">
      <w:pPr>
        <w:pBdr>
          <w:top w:space="0" w:sz="0" w:val="nil"/>
          <w:left w:space="0" w:sz="0" w:val="nil"/>
          <w:bottom w:space="0" w:sz="0" w:val="nil"/>
          <w:right w:space="0" w:sz="0" w:val="nil"/>
          <w:between w:space="0" w:sz="0" w:val="nil"/>
        </w:pBdr>
        <w:spacing w:after="326" w:line="360" w:lineRule="auto"/>
        <w:ind w:left="0" w:firstLine="0"/>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48</w:t>
      </w:r>
      <w:r w:rsidDel="00000000" w:rsidR="00000000" w:rsidRPr="00000000">
        <w:rPr>
          <w:rtl w:val="0"/>
        </w:rPr>
      </w:r>
    </w:p>
    <w:p w:rsidR="00000000" w:rsidDel="00000000" w:rsidP="00000000" w:rsidRDefault="00000000" w:rsidRPr="00000000" w14:paraId="0000005C">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Tabla 2: Funciones de los apoyos</w:t>
      </w:r>
    </w:p>
    <w:p w:rsidR="00000000" w:rsidDel="00000000" w:rsidP="00000000" w:rsidRDefault="00000000" w:rsidRPr="00000000" w14:paraId="0000005D">
      <w:pPr>
        <w:pBdr>
          <w:top w:space="0" w:sz="0" w:val="nil"/>
          <w:left w:space="0" w:sz="0" w:val="nil"/>
          <w:bottom w:space="0" w:sz="0" w:val="nil"/>
          <w:right w:space="0" w:sz="0" w:val="nil"/>
          <w:between w:space="0" w:sz="0" w:val="nil"/>
        </w:pBdr>
        <w:spacing w:line="360" w:lineRule="auto"/>
        <w:ind w:firstLine="74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E">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Tabla 2 detalla las funciones de los apoyos según el Artículo 569 de Naciones Unidas en el ámbito de la discapacidad. Estas funciones están diseñadas para facilitar la participación de las personas con discapacidad en actos jurídicos, asegurando que sus decisiones sean entendidas, expresadas y ejecutadas adecuadamente. La tabla desglosa diversas funciones en diferentes ámbitos de apoyo.</w:t>
      </w:r>
    </w:p>
    <w:p w:rsidR="00000000" w:rsidDel="00000000" w:rsidP="00000000" w:rsidRDefault="00000000" w:rsidRPr="00000000" w14:paraId="0000005F">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Primero, se destaca la función de facilitar la comunicación para la celebración de un acto jurídico. Esto implica proporcionar medidas de accesibilidad y ajustes razonables en la comunicación, asegurando que las personas con discapacidad puedan expresar y comunicar sus decisiones de manera efectiva. La finalidad de esta función es garantizar que la comunicación no sea una barrera en el proceso de toma de decisiones.</w:t>
      </w:r>
    </w:p>
    <w:p w:rsidR="00000000" w:rsidDel="00000000" w:rsidP="00000000" w:rsidRDefault="00000000" w:rsidRPr="00000000" w14:paraId="00000060">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segundo lugar, está la función de comprender el acto jurídico y sus consecuencias. Esto incluye obtener y entender la información necesaria para tomar decisiones informadas. Además, implica evaluar las posibles alternativas y sus respectivas consecuencias, lo cual es esencial para una toma de decisiones informada y responsable. Este aspecto del apoyo se enmarca en el apoyo en la toma de decisiones, conocido como "supported decision-making", donde se ayuda a la persona a entender todas las opciones disponibles y las posibles repercusiones de cada una.</w:t>
      </w:r>
    </w:p>
    <w:p w:rsidR="00000000" w:rsidDel="00000000" w:rsidP="00000000" w:rsidRDefault="00000000" w:rsidRPr="00000000" w14:paraId="00000061">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Una función crucial es manifestar la voluntad de quien requiere el apoyo. Esto implica no solo expresar y comunicar una decisión, sino también ejecutar dicha decisión. Aquí, el apoyo es esencial para asegurarse de que la voluntad de la persona con discapacidad se respete y se lleve a cabo de manera efectiva.</w:t>
      </w:r>
    </w:p>
    <w:p w:rsidR="00000000" w:rsidDel="00000000" w:rsidP="00000000" w:rsidRDefault="00000000" w:rsidRPr="00000000" w14:paraId="00000062">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Finalmente, se reconoce un apoyo excepcional para situaciones en las que la persona con discapacidad no puede formular una voluntad. En estos casos, el apoyo se proporciona de manera que se respete lo más posible la autonomía de la persona, tomando en cuenta sus intereses y preferencias históricas.</w:t>
      </w:r>
    </w:p>
    <w:p w:rsidR="00000000" w:rsidDel="00000000" w:rsidP="00000000" w:rsidRDefault="00000000" w:rsidRPr="00000000" w14:paraId="0000006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resumen, la Tabla 2 ilustra cómo los apoyos deben facilitar la comunicación, comprensión, evaluación de alternativas, manifestación de la voluntad y ejecución de decisiones para las personas con discapacidad, asegurando que sus derechos sean plenamente respetados y promovidos en todos los actos jurídicos.</w:t>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partir de lo anterior, y sin perjuicio de que más adelante entremos a discutir los supuestos específicos, creemos que es necesario concluir que el informe de la Relatora también estaría contemplando la posibilidad que en determinado supuesto una persona con discapacidad no esté en posibilidad de formular una voluntad que permita celebrar un acto jurídico.</w:t>
      </w:r>
    </w:p>
    <w:p w:rsidR="00000000" w:rsidDel="00000000" w:rsidP="00000000" w:rsidRDefault="00000000" w:rsidRPr="00000000" w14:paraId="00000065">
      <w:pPr>
        <w:pBdr>
          <w:top w:space="0" w:sz="0" w:val="nil"/>
          <w:left w:space="0" w:sz="0" w:val="nil"/>
          <w:bottom w:space="0" w:sz="0" w:val="nil"/>
          <w:right w:space="0" w:sz="0" w:val="nil"/>
          <w:between w:space="0" w:sz="0" w:val="nil"/>
        </w:pBdr>
        <w:spacing w:line="360" w:lineRule="auto"/>
        <w:ind w:left="0" w:firstLine="0"/>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49</w:t>
      </w:r>
      <w:r w:rsidDel="00000000" w:rsidR="00000000" w:rsidRPr="00000000">
        <w:rPr>
          <w:rtl w:val="0"/>
        </w:rPr>
      </w:r>
    </w:p>
    <w:p w:rsidR="00000000" w:rsidDel="00000000" w:rsidP="00000000" w:rsidRDefault="00000000" w:rsidRPr="00000000" w14:paraId="00000066">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4.2.- La curiosa situación de los apoyos excepcionales</w:t>
      </w:r>
    </w:p>
    <w:p w:rsidR="00000000" w:rsidDel="00000000" w:rsidP="00000000" w:rsidRDefault="00000000" w:rsidRPr="00000000" w14:paraId="00000067">
      <w:pPr>
        <w:pBdr>
          <w:top w:space="0" w:sz="0" w:val="nil"/>
          <w:left w:space="0" w:sz="0" w:val="nil"/>
          <w:bottom w:space="0" w:sz="0" w:val="nil"/>
          <w:right w:space="0" w:sz="0" w:val="nil"/>
          <w:between w:space="0" w:sz="0" w:val="nil"/>
        </w:pBdr>
        <w:spacing w:after="257"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artículo 659-E del reformado Código Civil establece que en determinados supuestos un juez puede designar apoyos obligatorios. Así, dispone que:</w:t>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line="360" w:lineRule="auto"/>
        <w:jc w:val="both"/>
        <w:rPr>
          <w:rFonts w:ascii="Calibri" w:cs="Calibri" w:eastAsia="Calibri" w:hAnsi="Calibri"/>
          <w:i w:val="1"/>
          <w:sz w:val="22"/>
          <w:szCs w:val="22"/>
        </w:rPr>
      </w:pPr>
      <w:r w:rsidDel="00000000" w:rsidR="00000000" w:rsidRPr="00000000">
        <w:rPr>
          <w:rFonts w:ascii="Calibri" w:cs="Calibri" w:eastAsia="Calibri" w:hAnsi="Calibri"/>
          <w:i w:val="1"/>
          <w:sz w:val="22"/>
          <w:szCs w:val="22"/>
          <w:rtl w:val="0"/>
        </w:rPr>
        <w:t xml:space="preserve">“El juez puede determinar, de modo excepcional, los apoyos necesarios para las personas con discapacidad que no puedan manifestar su voluntad y para aquellas con capacidad de ejercicio restringida, conforme al numeral 9 del artículo 44. Esta medida se justifica, después de haber realizado esfuerzos reales, considerables y pertinentes para obtener una manifestación de voluntad de la persona, y de habérsele prestado las medidas de accesibilidad y ajustes razonables, y cuando la designación de apoyos sea necesaria para el ejercicio y protección de sus derechos.</w:t>
      </w:r>
    </w:p>
    <w:p w:rsidR="00000000" w:rsidDel="00000000" w:rsidP="00000000" w:rsidRDefault="00000000" w:rsidRPr="00000000" w14:paraId="00000069">
      <w:pPr>
        <w:pBdr>
          <w:top w:space="0" w:sz="0" w:val="nil"/>
          <w:left w:space="0" w:sz="0" w:val="nil"/>
          <w:bottom w:space="0" w:sz="0" w:val="nil"/>
          <w:right w:space="0" w:sz="0" w:val="nil"/>
          <w:between w:space="0" w:sz="0" w:val="nil"/>
        </w:pBdr>
        <w:spacing w:line="360" w:lineRule="auto"/>
        <w:jc w:val="both"/>
        <w:rPr>
          <w:rFonts w:ascii="Calibri" w:cs="Calibri" w:eastAsia="Calibri" w:hAnsi="Calibri"/>
          <w:i w:val="1"/>
          <w:sz w:val="22"/>
          <w:szCs w:val="22"/>
        </w:rPr>
      </w:pPr>
      <w:r w:rsidDel="00000000" w:rsidR="00000000" w:rsidRPr="00000000">
        <w:rPr>
          <w:rFonts w:ascii="Calibri" w:cs="Calibri" w:eastAsia="Calibri" w:hAnsi="Calibri"/>
          <w:i w:val="1"/>
          <w:sz w:val="22"/>
          <w:szCs w:val="22"/>
          <w:rtl w:val="0"/>
        </w:rPr>
        <w:t xml:space="preserve">El juez determina la persona o personas de apoyo tomando en cuenta la relación de convivencia, confianza, amistad, cuidado o parentesco que sexista entre ella o ellas y la persona que requiere apoyo. Asimismo, fija el plazo, alcances y responsabilidades del apoyo. En todos los casos, el juez debe realizar las diligencias pertinentes para obtener la mejor interpretación posible de la voluntad y las preferencias de la persona, y atender a su trayectoria de vida. No pueden ser designados como apoyos las personas condenadas por violencia familiar o personas condenadas por violencia sexual.</w:t>
      </w:r>
    </w:p>
    <w:p w:rsidR="00000000" w:rsidDel="00000000" w:rsidP="00000000" w:rsidRDefault="00000000" w:rsidRPr="00000000" w14:paraId="0000006A">
      <w:pPr>
        <w:pBdr>
          <w:top w:space="0" w:sz="0" w:val="nil"/>
          <w:left w:space="0" w:sz="0" w:val="nil"/>
          <w:bottom w:space="0" w:sz="0" w:val="nil"/>
          <w:right w:space="0" w:sz="0" w:val="nil"/>
          <w:between w:space="0" w:sz="0" w:val="nil"/>
        </w:pBdr>
        <w:spacing w:after="103" w:line="360" w:lineRule="auto"/>
        <w:jc w:val="both"/>
        <w:rPr>
          <w:rFonts w:ascii="Calibri" w:cs="Calibri" w:eastAsia="Calibri" w:hAnsi="Calibri"/>
          <w:i w:val="1"/>
          <w:sz w:val="22"/>
          <w:szCs w:val="22"/>
        </w:rPr>
      </w:pPr>
      <w:r w:rsidDel="00000000" w:rsidR="00000000" w:rsidRPr="00000000">
        <w:rPr>
          <w:rFonts w:ascii="Calibri" w:cs="Calibri" w:eastAsia="Calibri" w:hAnsi="Calibri"/>
          <w:i w:val="1"/>
          <w:sz w:val="22"/>
          <w:szCs w:val="22"/>
          <w:rtl w:val="0"/>
        </w:rPr>
        <w:t xml:space="preserve">El proceso judicial de determinación de apoyos excepcionalmente se inicia por cualquier persona con capacidad jurídica”</w:t>
      </w:r>
    </w:p>
    <w:p w:rsidR="00000000" w:rsidDel="00000000" w:rsidP="00000000" w:rsidRDefault="00000000" w:rsidRPr="00000000" w14:paraId="0000006B">
      <w:pPr>
        <w:pBdr>
          <w:top w:space="0" w:sz="0" w:val="nil"/>
          <w:left w:space="0" w:sz="0" w:val="nil"/>
          <w:bottom w:space="0" w:sz="0" w:val="nil"/>
          <w:right w:space="0" w:sz="0" w:val="nil"/>
          <w:between w:space="0" w:sz="0" w:val="nil"/>
        </w:pBdr>
        <w:spacing w:after="103" w:line="360" w:lineRule="auto"/>
        <w:jc w:val="both"/>
        <w:rPr>
          <w:rFonts w:ascii="Calibri" w:cs="Calibri" w:eastAsia="Calibri" w:hAnsi="Calibri"/>
          <w:i w:val="1"/>
          <w:sz w:val="22"/>
          <w:szCs w:val="22"/>
        </w:rPr>
      </w:pPr>
      <w:r w:rsidDel="00000000" w:rsidR="00000000" w:rsidRPr="00000000">
        <w:rPr>
          <w:rFonts w:ascii="Calibri" w:cs="Calibri" w:eastAsia="Calibri" w:hAnsi="Calibri"/>
          <w:sz w:val="22"/>
          <w:szCs w:val="22"/>
          <w:rtl w:val="0"/>
        </w:rPr>
        <w:t xml:space="preserve">Si desagregamos la norma tendríamos que ésta contempla ciertos supuestos en los que podría demandarse un apoyo obligatorio, pero también ciertos requisitos que deben cumplirse para que el juez lo ordene, y, finalmente, ciertos criterios que deben satisfacerse en la designación. Así, como vemos en la Figura 1 tenemos:</w:t>
      </w:r>
      <w:r w:rsidDel="00000000" w:rsidR="00000000" w:rsidRPr="00000000">
        <w:rPr>
          <w:rtl w:val="0"/>
        </w:rPr>
      </w:r>
    </w:p>
    <w:p w:rsidR="00000000" w:rsidDel="00000000" w:rsidP="00000000" w:rsidRDefault="00000000" w:rsidRPr="00000000" w14:paraId="0000006C">
      <w:pPr>
        <w:pBdr>
          <w:top w:space="0" w:sz="0" w:val="nil"/>
          <w:left w:space="0" w:sz="0" w:val="nil"/>
          <w:bottom w:space="0" w:sz="0" w:val="nil"/>
          <w:right w:space="0" w:sz="0" w:val="nil"/>
          <w:between w:space="0" w:sz="0" w:val="nil"/>
        </w:pBdr>
        <w:spacing w:after="363" w:line="360" w:lineRule="auto"/>
        <w:ind w:left="20" w:firstLine="0"/>
        <w:jc w:val="both"/>
        <w:rPr>
          <w:rFonts w:ascii="Calibri" w:cs="Calibri" w:eastAsia="Calibri" w:hAnsi="Calibri"/>
          <w:b w:val="1"/>
          <w:color w:val="0d0d0d"/>
          <w:sz w:val="22"/>
          <w:szCs w:val="22"/>
        </w:rPr>
      </w:pPr>
      <w:r w:rsidDel="00000000" w:rsidR="00000000" w:rsidRPr="00000000">
        <w:rPr>
          <w:rFonts w:ascii="Calibri" w:cs="Calibri" w:eastAsia="Calibri" w:hAnsi="Calibri"/>
          <w:b w:val="1"/>
          <w:color w:val="0d0d0d"/>
          <w:sz w:val="22"/>
          <w:szCs w:val="22"/>
          <w:highlight w:val="white"/>
          <w:rtl w:val="0"/>
        </w:rPr>
        <w:t xml:space="preserve">Inicio página 50</w:t>
      </w:r>
      <w:r w:rsidDel="00000000" w:rsidR="00000000" w:rsidRPr="00000000">
        <w:rPr>
          <w:rtl w:val="0"/>
        </w:rPr>
      </w:r>
    </w:p>
    <w:p w:rsidR="00000000" w:rsidDel="00000000" w:rsidP="00000000" w:rsidRDefault="00000000" w:rsidRPr="00000000" w14:paraId="0000006D">
      <w:pPr>
        <w:pBdr>
          <w:top w:space="0" w:sz="0" w:val="nil"/>
          <w:left w:space="0" w:sz="0" w:val="nil"/>
          <w:bottom w:space="0" w:sz="0" w:val="nil"/>
          <w:right w:space="0" w:sz="0" w:val="nil"/>
          <w:between w:space="0" w:sz="0" w:val="nil"/>
        </w:pBdr>
        <w:spacing w:after="363" w:line="360" w:lineRule="auto"/>
        <w:ind w:left="2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Figura 1:</w:t>
      </w:r>
    </w:p>
    <w:p w:rsidR="00000000" w:rsidDel="00000000" w:rsidP="00000000" w:rsidRDefault="00000000" w:rsidRPr="00000000" w14:paraId="0000006E">
      <w:pPr>
        <w:pBdr>
          <w:top w:space="0" w:sz="0" w:val="nil"/>
          <w:left w:space="0" w:sz="0" w:val="nil"/>
          <w:bottom w:space="0" w:sz="0" w:val="nil"/>
          <w:right w:space="0" w:sz="0" w:val="nil"/>
          <w:between w:space="0" w:sz="0" w:val="nil"/>
        </w:pBdr>
        <w:spacing w:after="363" w:line="360" w:lineRule="auto"/>
        <w:ind w:left="2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La Figura 1 describe el proceso para la designación de apoyos a una persona con discapacidad que no puede manifestar su voluntad para celebrar un acto jurídico, bajo la supervisión de un juez. En primer lugar, el juez debe verificar que no es posible conocer la voluntad de la persona, incluso después de haber proporcionado medidas de accesibilidad o ajustes razonables en la comunicación. Esto implica haber realizado esfuerzos reales, considerables y pertinentes para obtener una expresión de voluntad. Solo tras asegurarse de que estos intentos no han tenido éxito, el juez procede a considerar la necesidad de designar un apoyo.</w:t>
      </w:r>
    </w:p>
    <w:p w:rsidR="00000000" w:rsidDel="00000000" w:rsidP="00000000" w:rsidRDefault="00000000" w:rsidRPr="00000000" w14:paraId="0000006F">
      <w:pPr>
        <w:pBdr>
          <w:top w:space="0" w:sz="0" w:val="nil"/>
          <w:left w:space="0" w:sz="0" w:val="nil"/>
          <w:bottom w:space="0" w:sz="0" w:val="nil"/>
          <w:right w:space="0" w:sz="0" w:val="nil"/>
          <w:between w:space="0" w:sz="0" w:val="nil"/>
        </w:pBdr>
        <w:spacing w:after="363" w:line="360" w:lineRule="auto"/>
        <w:ind w:left="2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El juez debe entonces confirmar que la designación del apoyo es necesaria para el ejercicio o protección de los derechos de la persona con discapacidad. Esta verificación es crucial para asegurar que el apoyo solo se designe cuando sea absolutamente indispensable para proteger los derechos de la persona.</w:t>
      </w:r>
    </w:p>
    <w:p w:rsidR="00000000" w:rsidDel="00000000" w:rsidP="00000000" w:rsidRDefault="00000000" w:rsidRPr="00000000" w14:paraId="00000070">
      <w:pPr>
        <w:pBdr>
          <w:top w:space="0" w:sz="0" w:val="nil"/>
          <w:left w:space="0" w:sz="0" w:val="nil"/>
          <w:bottom w:space="0" w:sz="0" w:val="nil"/>
          <w:right w:space="0" w:sz="0" w:val="nil"/>
          <w:between w:space="0" w:sz="0" w:val="nil"/>
        </w:pBdr>
        <w:spacing w:after="363" w:line="360" w:lineRule="auto"/>
        <w:ind w:left="2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Para designar el apoyo, el juez toma en cuenta varios factores importantes. Primero, considera la relación de convivencia, confianza, amistad, cuidado o parentesco que exista entre la persona con discapacidad y el posible apoyo. Este criterio asegura que el apoyo designado sea alguien cercano y de confianza. Además, el juez evalúa si la persona con discapacidad hubiera tenido la voluntad de realizar el acto jurídico en cuestión, buscando respetar al máximo los deseos y decisiones pasadas de la persona.</w:t>
      </w:r>
    </w:p>
    <w:p w:rsidR="00000000" w:rsidDel="00000000" w:rsidP="00000000" w:rsidRDefault="00000000" w:rsidRPr="00000000" w14:paraId="00000071">
      <w:pPr>
        <w:pBdr>
          <w:top w:space="0" w:sz="0" w:val="nil"/>
          <w:left w:space="0" w:sz="0" w:val="nil"/>
          <w:bottom w:space="0" w:sz="0" w:val="nil"/>
          <w:right w:space="0" w:sz="0" w:val="nil"/>
          <w:between w:space="0" w:sz="0" w:val="nil"/>
        </w:pBdr>
        <w:spacing w:after="363" w:line="360" w:lineRule="auto"/>
        <w:ind w:left="2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El juez también debe determinar claramente el plazo, los alcances y las responsabilidades del apoyo designado, asegurando que estos sean específicos y adecuados a la situación. Es importante destacar que el juez no puede designar como apoyos a personas condenadas por violencia familiar o violencia sexual, lo cual garantiza la seguridad y bienestar de la persona con discapacidad.</w:t>
      </w:r>
    </w:p>
    <w:p w:rsidR="00000000" w:rsidDel="00000000" w:rsidP="00000000" w:rsidRDefault="00000000" w:rsidRPr="00000000" w14:paraId="00000072">
      <w:pPr>
        <w:pBdr>
          <w:top w:space="0" w:sz="0" w:val="nil"/>
          <w:left w:space="0" w:sz="0" w:val="nil"/>
          <w:bottom w:space="0" w:sz="0" w:val="nil"/>
          <w:right w:space="0" w:sz="0" w:val="nil"/>
          <w:between w:space="0" w:sz="0" w:val="nil"/>
        </w:pBdr>
        <w:spacing w:after="363" w:line="360" w:lineRule="auto"/>
        <w:ind w:left="2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En resumen, el proceso de designación de apoyos enfatiza un enfoque cuidadoso y deliberado, donde el juez se asegura de que todas las medidas necesarias se tomen para conocer la voluntad de la persona con discapacidad antes de proceder a la designación. Cuando la designación es necesaria, se considera la relación de confianza y las posibles restricciones para proteger a la persona con discapacidad, asegurando que sus derechos y bienestar sean siempre prioritarios.</w:t>
      </w:r>
    </w:p>
    <w:p w:rsidR="00000000" w:rsidDel="00000000" w:rsidP="00000000" w:rsidRDefault="00000000" w:rsidRPr="00000000" w14:paraId="00000073">
      <w:pPr>
        <w:pBdr>
          <w:top w:space="0" w:sz="0" w:val="nil"/>
          <w:left w:space="0" w:sz="0" w:val="nil"/>
          <w:bottom w:space="0" w:sz="0" w:val="nil"/>
          <w:right w:space="0" w:sz="0" w:val="nil"/>
          <w:between w:space="0" w:sz="0" w:val="nil"/>
        </w:pBdr>
        <w:spacing w:after="363" w:line="360" w:lineRule="auto"/>
        <w:ind w:left="20" w:firstLine="0"/>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51</w:t>
      </w:r>
      <w:r w:rsidDel="00000000" w:rsidR="00000000" w:rsidRPr="00000000">
        <w:rPr>
          <w:rtl w:val="0"/>
        </w:rPr>
      </w:r>
    </w:p>
    <w:p w:rsidR="00000000" w:rsidDel="00000000" w:rsidP="00000000" w:rsidRDefault="00000000" w:rsidRPr="00000000" w14:paraId="0000007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Frente a esta norma habrá quienes argumenten que el 659-E está regulando una curatela bajo otro nombre, pues la legislación peruana coincidiría con lo planteado en dos de los tres elementos referidos por la Observación General 1 del Comité PCD: una aparente remoción de la capacidad jurídica y el establecimiento de un tomador de decisiones sustituto señalado por un tercero. No obstante, como señalamos anteriormente, creemos que no es viable interpretar que cualquier de los tres supuestos planteados por el Comité PCD configure sustitución de la voluntad. Por el contrario, creemos que esta sólo existiría cuando concurren los tres supuestos. Lo contrario supondría desconocer la realidad de muchas personas con discapacidad severa. En la práctica, resulta inevitable que existan casos de personas con discapacidad quienes no podrán exteriorizar una voluntad sobre un acto jurídico sin asistencia de un apoyo (personas con autismo no verbal, por ejemplo). Ignorar estos casos a nivel regulatorio generaría desprotección a estas personas, que no podrían solicitar un apoyo, pero tampoco podrían defender sus propios derechos sin uno, pues no pueden comunicar su voluntad.</w:t>
      </w:r>
    </w:p>
    <w:p w:rsidR="00000000" w:rsidDel="00000000" w:rsidP="00000000" w:rsidRDefault="00000000" w:rsidRPr="00000000" w14:paraId="00000075">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ese sentido, aunque estamos ante una restricción de la capacidad de ejercicio por enfoque funcional, no compartimos la idea de que estamos frente a una sustitución de la voluntad, pues la decisión adoptada por el sustituto no se basa en el "interés superior” objetivo de la persona con discapacidad, sino en la voluntad y preferencias de esta. Para lograr esto, a diferencia del derogado artículo 569 del Código Civil que establecía una prelación de quien era llamado a ejercer la curatela (el cónyuge, los padres, los descendientes, los abuelos y demás ascendientes, y los hermanos); el artículo 659-E señala que el juez determinará al apoyo tomando en cuenta la relación de "convivencia, confianza, amistad, cuidado o parentesco" que exista entre la persona con discapacidad y sus posibles apoyos, con lo cual no necesariamente debe tratarse de un familiar. Además, el alcance del apoyo estará referido únicamente al derecho o derechos que requieran ser garantizados. En este sentido, al limitar de manera estricta los supuestos de aplicación, y obligar al juez a establecer una serie de parámetros 64 bajo los cuales deberá actuar el apoyo, este artículo opera también como salvaguardia.</w:t>
      </w:r>
    </w:p>
    <w:p w:rsidR="00000000" w:rsidDel="00000000" w:rsidP="00000000" w:rsidRDefault="00000000" w:rsidRPr="00000000" w14:paraId="00000076">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52</w:t>
      </w:r>
      <w:r w:rsidDel="00000000" w:rsidR="00000000" w:rsidRPr="00000000">
        <w:rPr>
          <w:rtl w:val="0"/>
        </w:rPr>
      </w:r>
    </w:p>
    <w:p w:rsidR="00000000" w:rsidDel="00000000" w:rsidP="00000000" w:rsidRDefault="00000000" w:rsidRPr="00000000" w14:paraId="00000077">
      <w:pPr>
        <w:pBdr>
          <w:top w:space="0" w:sz="0" w:val="nil"/>
          <w:left w:space="0" w:sz="0" w:val="nil"/>
          <w:bottom w:space="0" w:sz="0" w:val="nil"/>
          <w:right w:space="0" w:sz="0" w:val="nil"/>
          <w:between w:space="0" w:sz="0" w:val="nil"/>
        </w:pBdr>
        <w:spacing w:line="360" w:lineRule="auto"/>
        <w:ind w:firstLine="74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Aclarados estos aspectos teóricos, un punto altamente complejo de determinar es cuándo estaremos frente a una persona con discapacidad que requiere la designación de un apoyo obligatorio excepcional. Bajo la actual normativa no podría concluirse que por el hecho de que la persona presenta una evidente situación de discapacidad mental, no manifiesta voluntad. Sin embargo, resulta complejo determinar cuándo una expresión constituye efectivamente una manifestación de voluntad. Así, por ejemplo, ¿cuál es la voluntad de una persona con Alzheimer que a veces manifiesta que quiere vender una casa y otras veces no? ¿Una única manifestación es manifestación de voluntad? ¿O se requiere una cierta consistencia (reiteración) en el tiempo? ¿Dicha exigibilidad se pediría de manera general o solamente a personas con discapacidad?</w:t>
      </w:r>
    </w:p>
    <w:p w:rsidR="00000000" w:rsidDel="00000000" w:rsidP="00000000" w:rsidRDefault="00000000" w:rsidRPr="00000000" w14:paraId="00000078">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otro lado, resulta necesario tener presente que la reforma ha venido a insertarse en una sociedad que no necesariamente ha educado a las personas con discapacidad mental para el ejercicio de autonomía. En ese sentido, debemos aceptar que no todas las personas están actualmente en posibilidad de ejercer sus derechos y manifestar voluntad frente a actos jurídicos. En ese sentido, aunque aceptamos que el enfoque funcional estará siempre presente en los llamados "casos difíciles”, es probable que al menos durante un tiempo (una generación, quizás), sean más las personas que caigan bajo el supuesto de imposibilidad de manifestar voluntad.</w:t>
      </w:r>
    </w:p>
    <w:p w:rsidR="00000000" w:rsidDel="00000000" w:rsidP="00000000" w:rsidRDefault="00000000" w:rsidRPr="00000000" w14:paraId="00000079">
      <w:pPr>
        <w:pBdr>
          <w:top w:space="0" w:sz="0" w:val="nil"/>
          <w:left w:space="0" w:sz="0" w:val="nil"/>
          <w:bottom w:space="0" w:sz="0" w:val="nil"/>
          <w:right w:space="0" w:sz="0" w:val="nil"/>
          <w:between w:space="0" w:sz="0" w:val="nil"/>
        </w:pBdr>
        <w:spacing w:after="180"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nuestra opinión, la reforma ha trasladado el debate de la categoría "capacidad jurídica” a la categoría "voluntad”. Sin una reconfiguración de cómo entender la voluntad en el Derecho, será difícil operativizar esta reforma. En nuestra opinión, siguiendo una postura funcional, no cualquier expresión es voluntad, sino que debe ser libre, seria y consistente. Lo primero implica que sea un acto tomado sin condicionamientos o influencias indebidas. La seriedad implica que esté referida a un hecho o acto que ocurre en la realidad y que va a desplegar efectivamente efectos jurídicos (es decir, no es una voluntad sobre algo irreal ni es una broma). Esto podría ser relevante con respecto a quienes toman decisiones sobre premisas falsas como que nunca van a morir. Finalmente, la consistencia de la voluntad tendría que ver con la reiteración o permanencia de la voluntad. Así, si una persona con discapacidad desea vender un inmueble, corresponderá al notario verificar si su voluntad para la venta se mantiene a lo largo de un determinado periodo de tiempo. Sin duda, la voluntad de las personas respecto de la venta de un inmueble puede variar, pero si esta voluntad varía varias veces a lo largo de una semana, podríamos arriesgarnos a concluir que no hay voluntad y por tanto, que el acto jurídico no puede ejecutarse y, eventualmente, que la persona requiere un apoyo obligatorio.</w:t>
      </w:r>
    </w:p>
    <w:p w:rsidR="00000000" w:rsidDel="00000000" w:rsidP="00000000" w:rsidRDefault="00000000" w:rsidRPr="00000000" w14:paraId="0000007A">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53</w:t>
      </w:r>
      <w:r w:rsidDel="00000000" w:rsidR="00000000" w:rsidRPr="00000000">
        <w:rPr>
          <w:rtl w:val="0"/>
        </w:rPr>
      </w:r>
    </w:p>
    <w:p w:rsidR="00000000" w:rsidDel="00000000" w:rsidP="00000000" w:rsidRDefault="00000000" w:rsidRPr="00000000" w14:paraId="0000007B">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Esto sin duda hace más compleja la labor de los operadores jurídicos (jueces y notarios), pero también del apoyo. ¿Qué tan diligente debe ser su labor para evitar responsabilidad? Al respecto, cabe señalar que el artículo 1976-A señala que la persona con discapacidad "es responsable por sus decisiones, incluso de aquellas realizadas con dicho apoyo". Solamente se exceptúa a las personas en coma con apoyos judicialmente designados, ya sea que sus apoyos hayan actuado con dolo o culpa (artículo 44.9 del Código Civil). Si bien la persona con discapacidad tiene derecho a repetir contra el apoyo, la norma no es clara respecto a los parámetros bajo los cuales podría considerarse la responsabilidad del apoyo. ¿Se debería tomar en cuenta las características y conocimientos previos de la persona que presta el apoyo o debería haber un estándar de conocimiento generales que todo apoyo debería saber? Es decir, ¿debería ser objetivo</w:t>
      </w:r>
    </w:p>
    <w:p w:rsidR="00000000" w:rsidDel="00000000" w:rsidP="00000000" w:rsidRDefault="00000000" w:rsidRPr="00000000" w14:paraId="0000007C">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D">
      <w:pPr>
        <w:pBdr>
          <w:top w:space="0" w:sz="0" w:val="nil"/>
          <w:left w:space="0" w:sz="0" w:val="nil"/>
          <w:bottom w:space="0" w:sz="0" w:val="nil"/>
          <w:right w:space="0" w:sz="0" w:val="nil"/>
          <w:between w:space="0" w:sz="0" w:val="nil"/>
        </w:pBdr>
        <w:spacing w:after="326"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 subjetivo? En países como el nuestro, creemos que es mejor optar por un criterio subjetivo, que permita que quien juzga pueda tomar en cuenta las particularidades de la persona que provee el apoyo. No se le podría exigir lo mismo a una persona analfabeta que a un experto en Derecho. Así, por ejemplo, si el apoyo debe explicar las consecuencias de una compraventa, el conocimiento jurídico generaría más obligaciones en quien es abogado que en quien no sabe leer ni escribir. Así, el abogado tendría que informar sobre el pago de arras y podría incurrir en responsabilidad de no hacerlo. Dicha obligación no existiría de la misma manera para quien no sabe leer ni escribir. Esta última persona tendría que explicar el acto jurídico de compraventa pero es entendible que no maneje todas las categorías jurídicas asociadas, y ello no debería conllevar responsabilidad.</w:t>
      </w:r>
    </w:p>
    <w:p w:rsidR="00000000" w:rsidDel="00000000" w:rsidP="00000000" w:rsidRDefault="00000000" w:rsidRPr="00000000" w14:paraId="0000007E">
      <w:pPr>
        <w:numPr>
          <w:ilvl w:val="0"/>
          <w:numId w:val="1"/>
        </w:numPr>
        <w:pBdr>
          <w:top w:space="0" w:sz="0" w:val="nil"/>
          <w:left w:space="0" w:sz="0" w:val="nil"/>
          <w:bottom w:space="0" w:sz="0" w:val="nil"/>
          <w:right w:space="0" w:sz="0" w:val="nil"/>
          <w:between w:space="0" w:sz="0" w:val="nil"/>
        </w:pBdr>
        <w:spacing w:after="316"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 Los problemas con las salvaguardias</w:t>
      </w:r>
      <w:r w:rsidDel="00000000" w:rsidR="00000000" w:rsidRPr="00000000">
        <w:rPr>
          <w:rtl w:val="0"/>
        </w:rPr>
      </w:r>
    </w:p>
    <w:p w:rsidR="00000000" w:rsidDel="00000000" w:rsidP="00000000" w:rsidRDefault="00000000" w:rsidRPr="00000000" w14:paraId="0000007F">
      <w:pPr>
        <w:pBdr>
          <w:top w:space="0" w:sz="0" w:val="nil"/>
          <w:left w:space="0" w:sz="0" w:val="nil"/>
          <w:bottom w:space="0" w:sz="0" w:val="nil"/>
          <w:right w:space="0" w:sz="0" w:val="nil"/>
          <w:between w:space="0" w:sz="0" w:val="nil"/>
        </w:pBdr>
        <w:spacing w:after="164" w:line="360" w:lineRule="auto"/>
        <w:jc w:val="both"/>
        <w:rPr>
          <w:rFonts w:ascii="Calibri" w:cs="Calibri" w:eastAsia="Calibri" w:hAnsi="Calibri"/>
          <w:i w:val="1"/>
          <w:sz w:val="22"/>
          <w:szCs w:val="22"/>
        </w:rPr>
      </w:pPr>
      <w:r w:rsidDel="00000000" w:rsidR="00000000" w:rsidRPr="00000000">
        <w:rPr>
          <w:rFonts w:ascii="Calibri" w:cs="Calibri" w:eastAsia="Calibri" w:hAnsi="Calibri"/>
          <w:sz w:val="22"/>
          <w:szCs w:val="22"/>
          <w:rtl w:val="0"/>
        </w:rPr>
        <w:t xml:space="preserve">El artículo 659-G del Código Civil define las salvaguardias como: </w:t>
      </w:r>
      <w:r w:rsidDel="00000000" w:rsidR="00000000" w:rsidRPr="00000000">
        <w:rPr>
          <w:rFonts w:ascii="Calibri" w:cs="Calibri" w:eastAsia="Calibri" w:hAnsi="Calibri"/>
          <w:i w:val="1"/>
          <w:sz w:val="22"/>
          <w:szCs w:val="22"/>
          <w:rtl w:val="0"/>
        </w:rPr>
        <w:t xml:space="preserve">(...) medidas para garantizar el respeto de los derechos, la voluntad y las preferencias de la persona que recibe apoyo, prevenir el abuso y la influencia indebida por parte de quien brinda tales apoyos; así como evitar la afectación o poner en riesgo los derechos de las personas asistidas.</w:t>
      </w:r>
    </w:p>
    <w:p w:rsidR="00000000" w:rsidDel="00000000" w:rsidP="00000000" w:rsidRDefault="00000000" w:rsidRPr="00000000" w14:paraId="00000080">
      <w:pPr>
        <w:pBdr>
          <w:top w:space="0" w:sz="0" w:val="nil"/>
          <w:left w:space="0" w:sz="0" w:val="nil"/>
          <w:bottom w:space="0" w:sz="0" w:val="nil"/>
          <w:right w:space="0" w:sz="0" w:val="nil"/>
          <w:between w:space="0" w:sz="0" w:val="nil"/>
        </w:pBdr>
        <w:spacing w:after="180" w:line="360" w:lineRule="auto"/>
        <w:ind w:firstLine="76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Además, el artículo 21.3 del Reglamento del Decreto Legislativo 1384 propone ciertas medidas </w:t>
      </w:r>
      <w:r w:rsidDel="00000000" w:rsidR="00000000" w:rsidRPr="00000000">
        <w:rPr>
          <w:rFonts w:ascii="Calibri" w:cs="Calibri" w:eastAsia="Calibri" w:hAnsi="Calibri"/>
          <w:i w:val="1"/>
          <w:sz w:val="22"/>
          <w:szCs w:val="22"/>
          <w:rtl w:val="0"/>
        </w:rPr>
        <w:t xml:space="preserve">ex post</w:t>
      </w:r>
      <w:r w:rsidDel="00000000" w:rsidR="00000000" w:rsidRPr="00000000">
        <w:rPr>
          <w:rFonts w:ascii="Calibri" w:cs="Calibri" w:eastAsia="Calibri" w:hAnsi="Calibri"/>
          <w:sz w:val="22"/>
          <w:szCs w:val="22"/>
          <w:rtl w:val="0"/>
        </w:rPr>
        <w:t xml:space="preserve"> que no necesariamente protegen los derechos de la persona con discapacidad de manera oportuna.</w:t>
      </w:r>
      <w:hyperlink w:anchor="bookmark=id.2250f4o">
        <w:r w:rsidDel="00000000" w:rsidR="00000000" w:rsidRPr="00000000">
          <w:rPr>
            <w:rFonts w:ascii="Calibri" w:cs="Calibri" w:eastAsia="Calibri" w:hAnsi="Calibri"/>
            <w:sz w:val="22"/>
            <w:szCs w:val="22"/>
            <w:vertAlign w:val="superscript"/>
            <w:rtl w:val="0"/>
          </w:rPr>
          <w:t xml:space="preserve">65</w:t>
        </w:r>
      </w:hyperlink>
      <w:r w:rsidDel="00000000" w:rsidR="00000000" w:rsidRPr="00000000">
        <w:rPr>
          <w:rFonts w:ascii="Calibri" w:cs="Calibri" w:eastAsia="Calibri" w:hAnsi="Calibri"/>
          <w:sz w:val="22"/>
          <w:szCs w:val="22"/>
          <w:rtl w:val="0"/>
        </w:rPr>
        <w:t xml:space="preserve"> Por ejemplo, si se realiza una revisión judicial luego de que se haya transferido una propiedad a un tercero, esta transferencia no podría impugnarse aunque se haya realizado bajo influencia indebida. En ese sentido, se requieren más medidas </w:t>
      </w:r>
      <w:r w:rsidDel="00000000" w:rsidR="00000000" w:rsidRPr="00000000">
        <w:rPr>
          <w:rFonts w:ascii="Calibri" w:cs="Calibri" w:eastAsia="Calibri" w:hAnsi="Calibri"/>
          <w:i w:val="1"/>
          <w:sz w:val="22"/>
          <w:szCs w:val="22"/>
          <w:rtl w:val="0"/>
        </w:rPr>
        <w:t xml:space="preserve">ex ante</w:t>
      </w:r>
      <w:r w:rsidDel="00000000" w:rsidR="00000000" w:rsidRPr="00000000">
        <w:rPr>
          <w:rFonts w:ascii="Calibri" w:cs="Calibri" w:eastAsia="Calibri" w:hAnsi="Calibri"/>
          <w:sz w:val="22"/>
          <w:szCs w:val="22"/>
          <w:rtl w:val="0"/>
        </w:rPr>
        <w:t xml:space="preserve"> que puedan garantizar los derechos de quienes reciben el apoyo. Estas podrían ser prohibiciones de enajenar, restricciones sobre el precio al cual se puede vender una propiedad o personas con las que no se puede contratar por conflicto de intereses con quien provee el apoyo.</w:t>
      </w:r>
    </w:p>
    <w:p w:rsidR="00000000" w:rsidDel="00000000" w:rsidP="00000000" w:rsidRDefault="00000000" w:rsidRPr="00000000" w14:paraId="00000081">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color w:val="0d0d0d"/>
          <w:sz w:val="22"/>
          <w:szCs w:val="22"/>
        </w:rPr>
      </w:pPr>
      <w:r w:rsidDel="00000000" w:rsidR="00000000" w:rsidRPr="00000000">
        <w:rPr>
          <w:rFonts w:ascii="Calibri" w:cs="Calibri" w:eastAsia="Calibri" w:hAnsi="Calibri"/>
          <w:color w:val="0d0d0d"/>
          <w:sz w:val="22"/>
          <w:szCs w:val="22"/>
          <w:highlight w:val="white"/>
          <w:rtl w:val="0"/>
        </w:rPr>
        <w:t xml:space="preserve">Inicio página 54</w:t>
      </w:r>
      <w:r w:rsidDel="00000000" w:rsidR="00000000" w:rsidRPr="00000000">
        <w:rPr>
          <w:rFonts w:ascii="Calibri" w:cs="Calibri" w:eastAsia="Calibri" w:hAnsi="Calibri"/>
          <w:color w:val="0d0d0d"/>
          <w:sz w:val="22"/>
          <w:szCs w:val="22"/>
          <w:rtl w:val="0"/>
        </w:rPr>
        <w:t xml:space="preserve">. </w:t>
      </w:r>
    </w:p>
    <w:p w:rsidR="00000000" w:rsidDel="00000000" w:rsidP="00000000" w:rsidRDefault="00000000" w:rsidRPr="00000000" w14:paraId="00000082">
      <w:pPr>
        <w:pBdr>
          <w:top w:space="0" w:sz="0" w:val="nil"/>
          <w:left w:space="0" w:sz="0" w:val="nil"/>
          <w:bottom w:space="0" w:sz="0" w:val="nil"/>
          <w:right w:space="0" w:sz="0" w:val="nil"/>
          <w:between w:space="0" w:sz="0" w:val="nil"/>
        </w:pBdr>
        <w:spacing w:after="180"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Por otro lado, en opinión de Martínez-Pujalte, uno de los pocos análisis existentes sobre el Decreto Legislativo 1384 hasta el momento, la reforma peruana falla en prevenir "situaciones de manipulación, abuso e influencia indebida” (Martinez-Pujalte, 2019, p. 18). Esto puede evidenciarse al contrastar la definición de la norma peruana con la planteada en el artículo 12.4 de la CDPD (Tabla 3). En primer lugar, de acuerdo con el artículo 659-E, los jueces solo podrían ordenar salvaguardias en los supuestos de apoyo judicial extraordinario. No obstante, consideramos que si la reforma peruana está inspirada en la CDPD, resulta necesario que los jueces puedan designar salvaguardias para toda persona que reciba apoyos (sean estos facultativos u obligatorios). En segundo lugar, la reforma no contempla regulación alguna sobre los conflictos de intereses. Se requieren lineamientos para que los jueces identifiquen conflictos de intereses y cuando no pueda evitarse se gestione evitando daños a quien recibe el apoyo (Martin et al., 2016, p. 50).</w:t>
      </w:r>
    </w:p>
    <w:p w:rsidR="00000000" w:rsidDel="00000000" w:rsidP="00000000" w:rsidRDefault="00000000" w:rsidRPr="00000000" w14:paraId="0000008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Así, por ejemplo, si una persona provee el apoyo a su hermano, tiene un conflicto de intereses con respecto a una casa que puedan tener en copropiedad. No obstante, es probable que sea esta persona la que mejor conozca la voluntad y preferencias de la persona con discapacidad. En ese sentido, no se le debería descartar como apoyo por tener un conflicto de intereses. Lo que debería pasar es que el juez plantee salvaguardias como: prohibir la donación de la persona con discapacidad hacia el apoyo o cualquier familiar del apoyo, establecer un monto mínimo para la compraventa o solicitar permiso judicial para la disposición del bien. Fuera de los elementos señalados, las redacciones entre la CDPD y el Decreto Legislativo 1384 son similares.</w:t>
      </w:r>
    </w:p>
    <w:p w:rsidR="00000000" w:rsidDel="00000000" w:rsidP="00000000" w:rsidRDefault="00000000" w:rsidRPr="00000000" w14:paraId="0000008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0d0d0d"/>
          <w:sz w:val="22"/>
          <w:szCs w:val="22"/>
          <w:highlight w:val="white"/>
          <w:rtl w:val="0"/>
        </w:rPr>
        <w:t xml:space="preserve">Inicio página 55</w:t>
      </w:r>
      <w:r w:rsidDel="00000000" w:rsidR="00000000" w:rsidRPr="00000000">
        <w:rPr>
          <w:rtl w:val="0"/>
        </w:rPr>
      </w:r>
    </w:p>
    <w:p w:rsidR="00000000" w:rsidDel="00000000" w:rsidP="00000000" w:rsidRDefault="00000000" w:rsidRPr="00000000" w14:paraId="00000085">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Es importante notar, además, que la prohibición de que personas condenadas por violencia familiar o sexual sean apoyos es otra forma de salvaguardia prevista 66, aunque no esté expresamente reconocido como tal. Si bien la prohibición impacta en libertad de elección, consideramos que está justificada en el deber del juez de determinar la idoneidad de la persona que provee el apoyo. En esa línea, consideramos que las prohibiciones de la ley no son las únicas que un juez podría establecer. Así, por ejemplo, un juez podría señalar que una persona condenada por estafa o con un mal historial crediticio no puede desempeñar funciones de apoyo para decisiones monetarias.</w:t>
      </w:r>
    </w:p>
    <w:p w:rsidR="00000000" w:rsidDel="00000000" w:rsidP="00000000" w:rsidRDefault="00000000" w:rsidRPr="00000000" w14:paraId="00000086">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56</w:t>
      </w:r>
      <w:r w:rsidDel="00000000" w:rsidR="00000000" w:rsidRPr="00000000">
        <w:rPr>
          <w:rtl w:val="0"/>
        </w:rPr>
      </w:r>
    </w:p>
    <w:p w:rsidR="00000000" w:rsidDel="00000000" w:rsidP="00000000" w:rsidRDefault="00000000" w:rsidRPr="00000000" w14:paraId="00000087">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Sin perjuicio de lo anterior, resulta necesario generar jurisprudencia en torno a las salvaguardias. Sería importante que al momento de implementar estas medidas, los jueces tuvieran en mente la pregunta que Piers Gooding fórmula: "¿Cómo hacer para mantener la regulación de la vida privada de las personas a un mínimo absoluto, aun implementando salvaguardias efectivas frente al abuso?”.</w:t>
      </w:r>
      <w:hyperlink w:anchor="bookmark=id.1gf8i83">
        <w:r w:rsidDel="00000000" w:rsidR="00000000" w:rsidRPr="00000000">
          <w:rPr>
            <w:rFonts w:ascii="Calibri" w:cs="Calibri" w:eastAsia="Calibri" w:hAnsi="Calibri"/>
            <w:sz w:val="22"/>
            <w:szCs w:val="22"/>
            <w:vertAlign w:val="superscript"/>
            <w:rtl w:val="0"/>
          </w:rPr>
          <w:t xml:space="preserve">67</w:t>
        </w:r>
      </w:hyperlink>
      <w:r w:rsidDel="00000000" w:rsidR="00000000" w:rsidRPr="00000000">
        <w:rPr>
          <w:rtl w:val="0"/>
        </w:rPr>
      </w:r>
    </w:p>
    <w:p w:rsidR="00000000" w:rsidDel="00000000" w:rsidP="00000000" w:rsidRDefault="00000000" w:rsidRPr="00000000" w14:paraId="00000088">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0d0d0d"/>
          <w:sz w:val="22"/>
          <w:szCs w:val="22"/>
          <w:highlight w:val="white"/>
          <w:rtl w:val="0"/>
        </w:rPr>
        <w:t xml:space="preserve">Tabla 3: Salvaguardias en la CDPD y en el Decreto Legislativo 1384</w:t>
      </w:r>
      <w:r w:rsidDel="00000000" w:rsidR="00000000" w:rsidRPr="00000000">
        <w:rPr>
          <w:rtl w:val="0"/>
        </w:rPr>
      </w:r>
    </w:p>
    <w:p w:rsidR="00000000" w:rsidDel="00000000" w:rsidP="00000000" w:rsidRDefault="00000000" w:rsidRPr="00000000" w14:paraId="00000089">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Tabla 3 compara las salvaguardias establecidas en la Convención sobre los Derechos de las Personas con Discapacidad (CDPD) y en el Decreto Legislativo 1384, junto con su reglamento. Estas salvaguardias están diseñadas para asegurar que las medidas relacionadas con el ejercicio de la capacidad jurídica de las personas con discapacidad se implementen de manera justa y respetuosa.</w:t>
      </w:r>
    </w:p>
    <w:p w:rsidR="00000000" w:rsidDel="00000000" w:rsidP="00000000" w:rsidRDefault="00000000" w:rsidRPr="00000000" w14:paraId="0000008A">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cuanto al ámbito de aplicación, la CDPD abarca "todas las medidas relativas al ejercicio de la capacidad jurídica", mientras que el Decreto Legislativo 1384 y su reglamento se aplican a solicitud de la persona con discapacidad o en casos de designación excepcional. Esto sugiere que el Decreto tiene un enfoque más específico y basado en la solicitud directa de la persona afectada.</w:t>
      </w:r>
    </w:p>
    <w:p w:rsidR="00000000" w:rsidDel="00000000" w:rsidP="00000000" w:rsidRDefault="00000000" w:rsidRPr="00000000" w14:paraId="0000008B">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Las características de las salvaguardias en ambos marcos son similares, ya que ambas son proporcionales y adaptadas a la persona en el caso de la CDPD, y proporcionales y de acuerdo a las circunstancias según el Decreto Legislativo 1384. Este enfoque busca asegurar que las medidas sean adecuadas y personalizadas según las necesidades individuales.</w:t>
      </w:r>
    </w:p>
    <w:p w:rsidR="00000000" w:rsidDel="00000000" w:rsidP="00000000" w:rsidRDefault="00000000" w:rsidRPr="00000000" w14:paraId="0000008C">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relación con los límites al ejercicio de la capacidad jurídica brindado por el apoyo, tanto la CDPD como el Decreto enfatizan el respeto de los derechos, la voluntad y las preferencias de la persona. Es esencial que cualquier apoyo proporcionado no socave estos principios fundamentales.</w:t>
      </w:r>
    </w:p>
    <w:p w:rsidR="00000000" w:rsidDel="00000000" w:rsidP="00000000" w:rsidRDefault="00000000" w:rsidRPr="00000000" w14:paraId="0000008D">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color w:val="0d0d0d"/>
          <w:sz w:val="22"/>
          <w:szCs w:val="22"/>
          <w:highlight w:val="white"/>
          <w:rtl w:val="0"/>
        </w:rPr>
        <w:t xml:space="preserve">Inicio página 57</w:t>
      </w:r>
      <w:r w:rsidDel="00000000" w:rsidR="00000000" w:rsidRPr="00000000">
        <w:rPr>
          <w:rtl w:val="0"/>
        </w:rPr>
      </w:r>
    </w:p>
    <w:p w:rsidR="00000000" w:rsidDel="00000000" w:rsidP="00000000" w:rsidRDefault="00000000" w:rsidRPr="00000000" w14:paraId="0000008E">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Para evitar poner en riesgo los derechos de las personas asistidas, la CDPD establece que el apoyo no debe ejercer influencia indebida. De manera similar, el Decreto Legislativo 1384 también requiere la prevención de la influencia indebida, alineándose así con los principios de la CDPD.</w:t>
      </w:r>
    </w:p>
    <w:p w:rsidR="00000000" w:rsidDel="00000000" w:rsidP="00000000" w:rsidRDefault="00000000" w:rsidRPr="00000000" w14:paraId="0000008F">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Respecto a los límites a la persona que provee el apoyo, la CDPD especifica que no debe haber conflicto de intereses. En cambio, el Decreto Legislativo 1384 no menciona explícitamente este punto, lo cual podría interpretarse como una diferencia en los detalles operativos de las salvaguardias.</w:t>
      </w:r>
    </w:p>
    <w:p w:rsidR="00000000" w:rsidDel="00000000" w:rsidP="00000000" w:rsidRDefault="00000000" w:rsidRPr="00000000" w14:paraId="00000090">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Finalmente, en términos de revisión judicial, la CDPD establece que cualquier medida debe revisarse en un breve plazo, lo que garantiza una supervisión continua y oportuna. Por otro lado, el Decreto Legislativo 1384 requiere una revisión judicial pero no especifica un plazo concreto para esta revisión, lo cual podría afectar la rapidez y efectividad de la supervisión.</w:t>
      </w:r>
    </w:p>
    <w:p w:rsidR="00000000" w:rsidDel="00000000" w:rsidP="00000000" w:rsidRDefault="00000000" w:rsidRPr="00000000" w14:paraId="00000091">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resumen, tanto la CDPD como el Decreto Legislativo 1384 y su reglamento establecen salvaguardias para asegurar que las medidas relacionadas con la capacidad jurídica de las personas con discapacidad sean proporcionadas, respetuosas y sujetas a revisión judicial, aunque con algunas diferencias en los detalles y la especificidad de su aplicación.</w:t>
      </w:r>
    </w:p>
    <w:p w:rsidR="00000000" w:rsidDel="00000000" w:rsidP="00000000" w:rsidRDefault="00000000" w:rsidRPr="00000000" w14:paraId="00000092">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58</w:t>
      </w:r>
      <w:r w:rsidDel="00000000" w:rsidR="00000000" w:rsidRPr="00000000">
        <w:rPr>
          <w:rtl w:val="0"/>
        </w:rPr>
      </w:r>
    </w:p>
    <w:p w:rsidR="00000000" w:rsidDel="00000000" w:rsidP="00000000" w:rsidRDefault="00000000" w:rsidRPr="00000000" w14:paraId="00000093">
      <w:pPr>
        <w:numPr>
          <w:ilvl w:val="0"/>
          <w:numId w:val="2"/>
        </w:numPr>
        <w:pBdr>
          <w:top w:space="0" w:sz="0" w:val="nil"/>
          <w:left w:space="0" w:sz="0" w:val="nil"/>
          <w:bottom w:space="0" w:sz="0" w:val="nil"/>
          <w:right w:space="0" w:sz="0" w:val="nil"/>
          <w:between w:space="0" w:sz="0" w:val="nil"/>
        </w:pBdr>
        <w:spacing w:after="178"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CONCLUSIONES</w:t>
      </w:r>
      <w:r w:rsidDel="00000000" w:rsidR="00000000" w:rsidRPr="00000000">
        <w:rPr>
          <w:rtl w:val="0"/>
        </w:rPr>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line="360" w:lineRule="auto"/>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regulación de la capacidad jurídica es un asunto complejo y que aún genera controversia a nivel académico. No obstante, tales discusiones no deben ser óbice para dar inicio a procesos de reforma que permitan que las personas con discapacidad alcancen la igualdad que requieren. En el caso peruano, el camino a la Reforma fue complejo, largo y, finalmente, exitoso. Incluso sin entrar a las complejidades de las implicancias en el Derecho Civil, podríamos decir que la reforma resulta más ventajosa que el modelo de interdicción y curatela por las razones que podemos ver sistematizadas en la Tabla 4, entre las que destacan el que la persona puede escoger quién será su apoyo y el tiempo de duración de este. Además, resulta fundamental que el rol del apoyo esté controlado por salvaguardias.</w:t>
      </w:r>
    </w:p>
    <w:p w:rsidR="00000000" w:rsidDel="00000000" w:rsidP="00000000" w:rsidRDefault="00000000" w:rsidRPr="00000000" w14:paraId="00000095">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Tabla 4: Diferencias entre el régimen de interdicción y el de apoyos</w:t>
      </w:r>
      <w:r w:rsidDel="00000000" w:rsidR="00000000" w:rsidRPr="00000000">
        <w:rPr>
          <w:rtl w:val="0"/>
        </w:rPr>
      </w:r>
    </w:p>
    <w:p w:rsidR="00000000" w:rsidDel="00000000" w:rsidP="00000000" w:rsidRDefault="00000000" w:rsidRPr="00000000" w14:paraId="00000096">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bookmarkStart w:colFirst="0" w:colLast="0" w:name="_heading=h.gjdgxs" w:id="1"/>
      <w:bookmarkEnd w:id="1"/>
      <w:r w:rsidDel="00000000" w:rsidR="00000000" w:rsidRPr="00000000">
        <w:rPr>
          <w:rFonts w:ascii="Calibri" w:cs="Calibri" w:eastAsia="Calibri" w:hAnsi="Calibri"/>
          <w:sz w:val="22"/>
          <w:szCs w:val="22"/>
          <w:rtl w:val="0"/>
        </w:rPr>
        <w:t xml:space="preserve">La Tabla 4 presenta las diferencias entre el régimen de interdicción y curatela y el régimen de apoyos en la gestión de derechos para personas con discapacidad mental. Estas diferencias resaltan un cambio significativo en la perspectiva y tratamiento de las personas con discapacidad, moviéndose de un modelo de tutela a uno de apoyo basado en la autonomía y la voluntad personal.</w:t>
      </w:r>
    </w:p>
    <w:p w:rsidR="00000000" w:rsidDel="00000000" w:rsidP="00000000" w:rsidRDefault="00000000" w:rsidRPr="00000000" w14:paraId="00000097">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régimen de interdicción y curatela, la discapacidad mental se consideraba una "muerte civil", donde las personas afectadas eran despojadas de su capacidad para ejercer derechos. En contraste, bajo el régimen de apoyos, la deficiencia mental no implica una muerte civil, sino que se reconoce la capacidad de la persona para participar en la toma de decisiones sobre sus propios derechos.</w:t>
      </w:r>
    </w:p>
    <w:p w:rsidR="00000000" w:rsidDel="00000000" w:rsidP="00000000" w:rsidRDefault="00000000" w:rsidRPr="00000000" w14:paraId="00000098">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el régimen de interdicción, se designa un curador que ejerce todos los derechos de la persona con discapacidad. Este curador toma decisiones basadas en lo que considera el "mejor interés" de la persona. En cambio, bajo el régimen de apoyos, se designa un apoyo específico para determinados actos que materializan derechos. Este apoyo, incluso si es obligatorio, toma decisiones basándose en la voluntad y las preferencias de la persona con discapacidad.</w:t>
      </w:r>
    </w:p>
    <w:p w:rsidR="00000000" w:rsidDel="00000000" w:rsidP="00000000" w:rsidRDefault="00000000" w:rsidRPr="00000000" w14:paraId="00000099">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La elección del curador en el régimen de interdicción sigue una prelación establecida, mientras que en el régimen de apoyos, la persona con discapacidad tiene el derecho de elegir a su apoyo. Además, el curador es designado de por vida y la curatela puede ser heredada, lo que no ocurre en el régimen de apoyos, donde el apoyo dura el tiempo que desee la persona con discapacidad.</w:t>
      </w:r>
    </w:p>
    <w:p w:rsidR="00000000" w:rsidDel="00000000" w:rsidP="00000000" w:rsidRDefault="00000000" w:rsidRPr="00000000" w14:paraId="0000009A">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régimen de interdicción no incluye controles sobre el curador, mientras que el régimen de apoyos establece salvaguardias para supervisar y controlar la actuación del apoyo. Finalmente, bajo el régimen de interdicción, la persona con discapacidad no puede impugnar a su curador. En contraste, en el régimen de apoyos, la persona decide cuándo termina el apoyo, excepto en el caso de apoyos obligatorios.</w:t>
      </w:r>
    </w:p>
    <w:p w:rsidR="00000000" w:rsidDel="00000000" w:rsidP="00000000" w:rsidRDefault="00000000" w:rsidRPr="00000000" w14:paraId="0000009B">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En resumen, el régimen de apoyos ofrece un enfoque más flexible y respetuoso de la autonomía de las personas con discapacidad, permitiéndoles ejercer sus derechos con el apoyo adecuado, en lugar de ser reemplazados en la toma de decisiones.</w:t>
      </w:r>
    </w:p>
    <w:p w:rsidR="00000000" w:rsidDel="00000000" w:rsidP="00000000" w:rsidRDefault="00000000" w:rsidRPr="00000000" w14:paraId="0000009C">
      <w:pPr>
        <w:pBdr>
          <w:top w:space="0" w:sz="0" w:val="nil"/>
          <w:left w:space="0" w:sz="0" w:val="nil"/>
          <w:bottom w:space="0" w:sz="0" w:val="nil"/>
          <w:right w:space="0" w:sz="0" w:val="nil"/>
          <w:between w:space="0" w:sz="0" w:val="nil"/>
        </w:pBdr>
        <w:spacing w:line="360" w:lineRule="auto"/>
        <w:jc w:val="both"/>
        <w:rPr>
          <w:rFonts w:ascii="Calibri" w:cs="Calibri" w:eastAsia="Calibri" w:hAnsi="Calibri"/>
          <w:b w:val="1"/>
          <w:sz w:val="22"/>
          <w:szCs w:val="22"/>
        </w:rPr>
      </w:pPr>
      <w:r w:rsidDel="00000000" w:rsidR="00000000" w:rsidRPr="00000000">
        <w:rPr>
          <w:rFonts w:ascii="Calibri" w:cs="Calibri" w:eastAsia="Calibri" w:hAnsi="Calibri"/>
          <w:b w:val="1"/>
          <w:color w:val="0d0d0d"/>
          <w:sz w:val="22"/>
          <w:szCs w:val="22"/>
          <w:highlight w:val="white"/>
          <w:rtl w:val="0"/>
        </w:rPr>
        <w:t xml:space="preserve">Inicio página 59</w:t>
      </w:r>
      <w:r w:rsidDel="00000000" w:rsidR="00000000" w:rsidRPr="00000000">
        <w:rPr>
          <w:rtl w:val="0"/>
        </w:rPr>
      </w:r>
    </w:p>
    <w:p w:rsidR="00000000" w:rsidDel="00000000" w:rsidP="00000000" w:rsidRDefault="00000000" w:rsidRPr="00000000" w14:paraId="0000009D">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No obstante, como toda norma, la aplicación de la reforma ha abierto un espacio para discutir los alcances precisos de las obligaciones de la CDPD. En nuestra opinión, aceptando que el modelo no puede prescindir de un análisis funcional, consideramos que son dos los aspectos donde resulta mayor precisión y desarrollo jurisprudencial y doctrinario: la reconfiguración de una teoría de la voluntad que abarque también la voluntad de una persona con discapacidad mental y el perfilamiento de más y mejores salvaguardias que cumplan el rol paternalista (no peyorativo) para el que fueron creadas.</w:t>
      </w:r>
    </w:p>
    <w:p w:rsidR="00000000" w:rsidDel="00000000" w:rsidP="00000000" w:rsidRDefault="00000000" w:rsidRPr="00000000" w14:paraId="0000009E">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Referencias bibliográficas y notas al pie de página.:</w:t>
      </w:r>
    </w:p>
    <w:p w:rsidR="00000000" w:rsidDel="00000000" w:rsidP="00000000" w:rsidRDefault="00000000" w:rsidRPr="00000000" w14:paraId="0000009F">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 Al respecto, cabe recordar que la esclavitud recién se eliminó en el Perú en 1854. Hasta 1979 las personas que no supiesen español no podían votar y hasta 1984 las mujeres casadas requerían el permiso de sus maridos para trabajar.</w:t>
      </w:r>
    </w:p>
    <w:p w:rsidR="00000000" w:rsidDel="00000000" w:rsidP="00000000" w:rsidRDefault="00000000" w:rsidRPr="00000000" w14:paraId="000000A0">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 Englobamos dentro de la categoría “discapacidad mental” a las personas en situación de discapacidad intelectual (aquella originada en la deficiencia temporal o permanente de una persona que presente limitaciones significativas en</w:t>
      </w:r>
    </w:p>
    <w:p w:rsidR="00000000" w:rsidDel="00000000" w:rsidP="00000000" w:rsidRDefault="00000000" w:rsidRPr="00000000" w14:paraId="000000A1">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el funcionamiento intelectual como en el comportamiento adaptativo, como por ejemplo, una persona con Síndrome Down, o una persona con retardo mental), psicosocial (aquella originada en la deficiencia temporal o permanentemente de una persona en su forma de pensar, relacionarse o interactuar, como por ejemplo, una persona con esquizofrenia, un persona con trastorno bipolar, o una persona con síndrome de Asperger).</w:t>
      </w:r>
    </w:p>
    <w:p w:rsidR="00000000" w:rsidDel="00000000" w:rsidP="00000000" w:rsidRDefault="00000000" w:rsidRPr="00000000" w14:paraId="000000A2">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 Ley N.° 26994, publicada en el Boletín Oficial el 8 de octubre de 2014.</w:t>
      </w:r>
    </w:p>
    <w:p w:rsidR="00000000" w:rsidDel="00000000" w:rsidP="00000000" w:rsidRDefault="00000000" w:rsidRPr="00000000" w14:paraId="000000A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 Ley 9.379: Ley para la Promoción de la Autonomía Personal de las Personas con Discapacidad.</w:t>
      </w:r>
    </w:p>
    <w:p w:rsidR="00000000" w:rsidDel="00000000" w:rsidP="00000000" w:rsidRDefault="00000000" w:rsidRPr="00000000" w14:paraId="000000A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 Ley 1996 de 26 de agosto de 2019.</w:t>
      </w:r>
    </w:p>
    <w:p w:rsidR="00000000" w:rsidDel="00000000" w:rsidP="00000000" w:rsidRDefault="00000000" w:rsidRPr="00000000" w14:paraId="000000A5">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 Boletín 12441-17, Proyecto de ley que modifica diversos textos legales con el objeto de eliminar la discriminación en contra de personas con discapacidad intelectual, cognitiva y psicosocial, y consagrar su derecho a la autonomía </w:t>
      </w:r>
    </w:p>
    <w:p w:rsidR="00000000" w:rsidDel="00000000" w:rsidP="00000000" w:rsidRDefault="00000000" w:rsidRPr="00000000" w14:paraId="000000A6">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7 Sobre la evolución de los modelos de la prescindencia, médico y social a los que se hace referencia en el presente artículo ver: PALACIOS, A. (2008). El modelo social de discapacidad: orígenes, caracterización y plasmación en la Convención Internacional sobre los Derechos de las Personas con discapacidad. Madrid: Cinca, 2008, pp.38 -39.</w:t>
      </w:r>
    </w:p>
    <w:p w:rsidR="00000000" w:rsidDel="00000000" w:rsidP="00000000" w:rsidRDefault="00000000" w:rsidRPr="00000000" w14:paraId="000000A7">
      <w:pP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8 PALACIOS, A. (2008). El modelo social de discapacidad: Orígenes, caracterización y plasmación en la Convención Internacional sobre los Derechos de las Personas con Discapacidad. Madrid: Cinca, CERMI, pp. 38 -39; OLIVER, M., &amp; BARNES, C. (2012). The new politics of disablement. Houndmills, Basingstoke; New York, NY: Palgrave Macmillan.</w:t>
      </w:r>
    </w:p>
    <w:p w:rsidR="00000000" w:rsidDel="00000000" w:rsidP="00000000" w:rsidRDefault="00000000" w:rsidRPr="00000000" w14:paraId="000000A8">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9 DHANDA, A. (2017). Conversations between the proponents of the new paradigm of legal capacity. International</w:t>
      </w:r>
    </w:p>
    <w:p w:rsidR="00000000" w:rsidDel="00000000" w:rsidP="00000000" w:rsidRDefault="00000000" w:rsidRPr="00000000" w14:paraId="000000A9">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Journal of Law in Context, 13(01), 87-95. https://doi.org/10.1017/S1744552316000501, p. 88.</w:t>
      </w:r>
    </w:p>
    <w:p w:rsidR="00000000" w:rsidDel="00000000" w:rsidP="00000000" w:rsidRDefault="00000000" w:rsidRPr="00000000" w14:paraId="000000AA">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10 Idem.</w:t>
      </w:r>
    </w:p>
    <w:p w:rsidR="00000000" w:rsidDel="00000000" w:rsidP="00000000" w:rsidRDefault="00000000" w:rsidRPr="00000000" w14:paraId="000000AB">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11 Sobre las diferencias entre sistemas jurídicos, revisar: DAVID, R. (1978). Major legal systems in the world today: An introduction to the comparative study of law (2d ed; J. E. C. Brierley, Trans.). New York: Free Press.</w:t>
      </w:r>
    </w:p>
    <w:p w:rsidR="00000000" w:rsidDel="00000000" w:rsidP="00000000" w:rsidRDefault="00000000" w:rsidRPr="00000000" w14:paraId="000000AC">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12 El artículo 12 señala “Artículo 12. Igual reconocimiento como persona ante la ley</w:t>
      </w:r>
    </w:p>
    <w:p w:rsidR="00000000" w:rsidDel="00000000" w:rsidP="00000000" w:rsidRDefault="00000000" w:rsidRPr="00000000" w14:paraId="000000AD">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 Los Estados Partes reafirman que las personas con discapacidad tienen derecho en todas partes al reconocimiento de su personalidad jurídica.</w:t>
      </w:r>
    </w:p>
    <w:p w:rsidR="00000000" w:rsidDel="00000000" w:rsidP="00000000" w:rsidRDefault="00000000" w:rsidRPr="00000000" w14:paraId="000000AE">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 Los Estados Partes reconocerán que las personas con discapacidad tienen capacidad jurídica en igualdad de condiciones con las demás en todos los aspectos de la vida.</w:t>
      </w:r>
    </w:p>
    <w:p w:rsidR="00000000" w:rsidDel="00000000" w:rsidP="00000000" w:rsidRDefault="00000000" w:rsidRPr="00000000" w14:paraId="000000AF">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 Los Estados Partes adoptarán las medidas pertinentes para proporcionar acceso a las personas con discapacidad al apoyo que puedan necesitar en el ejercicio de su capacidad jurídica.</w:t>
      </w:r>
    </w:p>
    <w:p w:rsidR="00000000" w:rsidDel="00000000" w:rsidP="00000000" w:rsidRDefault="00000000" w:rsidRPr="00000000" w14:paraId="000000B0">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 Los Estados Partes asegurarán que en todas las medidas relativas al ejercicio de la capacidad jurídica se</w:t>
      </w:r>
    </w:p>
    <w:p w:rsidR="00000000" w:rsidDel="00000000" w:rsidP="00000000" w:rsidRDefault="00000000" w:rsidRPr="00000000" w14:paraId="000000B1">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proporcionen salvaguardias adecuadas y efectivas para impedir los abusos de conformidad con el derecho</w:t>
      </w:r>
    </w:p>
    <w:p w:rsidR="00000000" w:rsidDel="00000000" w:rsidP="00000000" w:rsidRDefault="00000000" w:rsidRPr="00000000" w14:paraId="000000B2">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internacional en materia de derechos humanos. Esas salvaguardias asegurarán que las medidas relativas al ejercicio de la capacidad jurídica respeten los derechos, la voluntad y las preferencias de la persona, que no haya conflicto de intereses ni influencia indebida, que sean proporcionales y adaptadas a las circunstancias de la persona, que se apliquen en el plazo más corto posible y que estén sujetas a exámenes periódicos por parte de una autoridad o un órgano judicial competente, independiente e imparcial. Las salvaguardias serán proporcionales al grado en que dichas medidas afecten a los derechos e intereses de las personas.5. Sin perjuicio de lo dispuesto en el presente artículo, los Estados Partes tomarán todas las medidas que sean pertinentes y efectivas para garantizar el derecho de las personas con discapacidad, en igualdad de condiciones con las demás, a ser propietarias y heredar bienes, controlar sus propios asuntos económicos y tener acceso en igualdad</w:t>
      </w:r>
    </w:p>
    <w:p w:rsidR="00000000" w:rsidDel="00000000" w:rsidP="00000000" w:rsidRDefault="00000000" w:rsidRPr="00000000" w14:paraId="000000B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 condiciones a préstamos bancarios, hipotecas y otras modalidades de crédito financiero, y velarán por que las personas con discapacidad no sean privadas de sus bienes de manera arbitraria.”</w:t>
      </w:r>
    </w:p>
    <w:p w:rsidR="00000000" w:rsidDel="00000000" w:rsidP="00000000" w:rsidRDefault="00000000" w:rsidRPr="00000000" w14:paraId="000000B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13 Al respecto, una de las pocas excepciones era el antiguo artículo 30 del Código Civil de España que señalaba:</w:t>
      </w:r>
    </w:p>
    <w:p w:rsidR="00000000" w:rsidDel="00000000" w:rsidP="00000000" w:rsidRDefault="00000000" w:rsidRPr="00000000" w14:paraId="000000B5">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"Artículo 30. Para los efectos civiles, sólo se reputará nacido el feto que tuviere figura humana y viviere veinticuatro horas enteramente desprendido del seno materno." Dicha norma fue modificada por la Ley 20/2011, de 21 de julio de 2011.</w:t>
      </w:r>
    </w:p>
    <w:p w:rsidR="00000000" w:rsidDel="00000000" w:rsidP="00000000" w:rsidRDefault="00000000" w:rsidRPr="00000000" w14:paraId="000000B6">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14 TROMEL, S. (2009). A personal perspective on the drafting history of the United Nations Convention on the Rights of Persons with Disabilities. En G. Quinn &amp; L. Waddington (Eds.), European Yearbook of Disability Law (Vol 1). Antwerp-Oxford-Portland: Intersentia, p. 126</w:t>
      </w:r>
    </w:p>
    <w:p w:rsidR="00000000" w:rsidDel="00000000" w:rsidP="00000000" w:rsidRDefault="00000000" w:rsidRPr="00000000" w14:paraId="000000B7">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15 Durante el quinto periodo de sesiones (2005) algunas delegaciones, entre ellas el International Disability Caucus, plantearon que el artículo en discusión se inspiraba en el artículo 15 de la Convención para la Eliminación de Todas las Formas de Discriminación contra la Mujer (CEDAW). No obstante, representaciones como la de Noruega, Japón, Irán, Egipto, Siria y Libia alegaron que no era posible hacer una similitud entre ambos artículos, pues ciertas personas con discapacidad mental no podían considerarse capaces de realizar actos de manera autónoma, y debían ser consideradas incapaces. Frente a este problema, antes del inicio del séptimo periodo de sesiones, Mackay hizo llegar una propuesta de artículo en la que adoptaba un modelo de capacidad de ejercicio (capacity to act) y de apoyo en la toma de decisiones. El texto propuesto fue debatido durante el séptimo periodo de sesiones (2006), luego del cual se elaboró un texto con dos alternativas de redacción: i) mantener la referencia a un “representante” (sustitución de la voluntad) o ii) hacer referencia a un sistema de apoyo en la toma de decisiones. Esta segunda propuesta fue la que se adoptó durante el octavo y último periodo de sesiones (2006). En ella el artículo 12.2 señalaba: “2. Los Estados Partes reconocerán que las personas con discapacidad tienen capacidad jurídica en igualdad de condiciones con las demás en todos los aspectos de la vida”. No obstante, a último minuto, el Grupo Africano y delegados de China y Rusia propusieron añadir una nota a pie de página que dijera: “En árabe, chino y ruso, el término ‘legal capacity’ refiere a la capacidad de goce (capacity for rights) y no a capacidad jurídica (capacity to act)”. Esta posición fue secundada por otros Estados, al punto que se plantearon solicitudes de notas a pie de página para que se precisara que en los seis idiomas oficiales de la ONU, capacidad legal significaba “capacidad para derechos”. No obstante los problemas interpretativos, en la sesión del 6 de diciembre, el Comité Ad Hoc decidió, sin votación alguna, suprimir la nota a pie de página. Cuando fue consultado sobre dicho acto, Mackay señaló que para efectos de traducción del término “capacidad legal” se tomaría en consideración lo señalado en la CEDAW. Es claro, por tanto, más allá de cómo se resolvió el impase, los Estados signatarios no estaban plenamente seguros de lo que estaban firmando.</w:t>
      </w:r>
    </w:p>
    <w:p w:rsidR="00000000" w:rsidDel="00000000" w:rsidP="00000000" w:rsidRDefault="00000000" w:rsidRPr="00000000" w14:paraId="000000B8">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16 MINKOWITZ, T. (2007). The United Nations Convention on the Rights to be Free from Nonconsensual Psychiatric Interventions. Syracuse Journal of International Law and Commerce, 34(2), 405-428. Recuperado de http://ssrn.com/abstract=1481512, p. 140.</w:t>
      </w:r>
    </w:p>
    <w:p w:rsidR="00000000" w:rsidDel="00000000" w:rsidP="00000000" w:rsidRDefault="00000000" w:rsidRPr="00000000" w14:paraId="000000B9">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17 Han formulado declaraciones interpretativas sobre el artículo 12: Australia, Canadá, Egipto, Estonia, Georgia, Kuwait, Noruega, Países Bajos, Polonia, Singapur y Siria. Irlanda planteó una reserva y una declaración interpretativa. México retiró la reserva que tenía al respecto en 2012.</w:t>
      </w:r>
    </w:p>
    <w:p w:rsidR="00000000" w:rsidDel="00000000" w:rsidP="00000000" w:rsidRDefault="00000000" w:rsidRPr="00000000" w14:paraId="000000BA">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18 COMITÉ SOBRE LOS DERECHOS DE LAS PERSONAS CON DISCAPACIDAD. (2014). Observación general número 1. Artículo 12: Igual reconocimiento como persona ante la ley. 11 período de sesiones. 31 de marzo a 11 de abril de 2014. CRPD/C/GC/1. Recuperado de https://tbinternet.ohchr.org/layouts/15/treatybodyexternal/Download.aspx?symbolno=CRPD/C/GC/1&amp;Lang=en, párrafo quince.</w:t>
      </w:r>
    </w:p>
    <w:p w:rsidR="00000000" w:rsidDel="00000000" w:rsidP="00000000" w:rsidRDefault="00000000" w:rsidRPr="00000000" w14:paraId="000000BB">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19 COMITÉ SOBRE LOS DERECHOS DE LAS PERSONAS CON DISCAPACIDAD. (2014), op. cit, párr. 21.</w:t>
      </w:r>
    </w:p>
    <w:p w:rsidR="00000000" w:rsidDel="00000000" w:rsidP="00000000" w:rsidRDefault="00000000" w:rsidRPr="00000000" w14:paraId="000000BC">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20 COMITÉ SOBRE LOS DERECHOS DE LAS PERSONAS CON DISCAPACIDAD. (2014), op. cit., párr. 15.</w:t>
      </w:r>
    </w:p>
    <w:p w:rsidR="00000000" w:rsidDel="00000000" w:rsidP="00000000" w:rsidRDefault="00000000" w:rsidRPr="00000000" w14:paraId="000000BD">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21 Idem.</w:t>
      </w:r>
    </w:p>
    <w:p w:rsidR="00000000" w:rsidDel="00000000" w:rsidP="00000000" w:rsidRDefault="00000000" w:rsidRPr="00000000" w14:paraId="000000BE">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22 DAWSON, J. (2015). A realistic approach to assessing mental health laws’ compliance with the UNCRPD. International Journal of Law and Psychiatry, 40, 70-79. https://doi.org/10.1016/j.ijlp.2015.04.003, p. 73.</w:t>
      </w:r>
    </w:p>
    <w:p w:rsidR="00000000" w:rsidDel="00000000" w:rsidP="00000000" w:rsidRDefault="00000000" w:rsidRPr="00000000" w14:paraId="000000BF">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23 COMITÉ SOBRE LOS DERECHOS DE LAS PERSONAS CON DISCAPACIDAD. (2014), op. cit, párr. 27.</w:t>
      </w:r>
    </w:p>
    <w:p w:rsidR="00000000" w:rsidDel="00000000" w:rsidP="00000000" w:rsidRDefault="00000000" w:rsidRPr="00000000" w14:paraId="000000C0">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24 COMITÉ SOBRE LOS DERECHOS DE LAS PERSONAS CON DISCAPACIDAD. (2018). Observación general número 1. Corrigendum. CRPD/C/GC/1/Corr.1. Recuperado de https://tbinternet.ohchr.org/_layouts/15/treatybodyexternal/Download.aspx?symbolno=CRPD/C/GC/1/Corr.1&amp;Lang=en, p. 1.</w:t>
      </w:r>
    </w:p>
    <w:p w:rsidR="00000000" w:rsidDel="00000000" w:rsidP="00000000" w:rsidRDefault="00000000" w:rsidRPr="00000000" w14:paraId="000000C1">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25 MARTIN, W. et al. (2016). Three jurisdictions report. Towards Compliance with CRPD Art. 12 in Capacity/Incapacity Legislation across the UK (p. 111). Retrieved from Essex Autonomy Project website: https://autonomy.essex.ac.uk/wp-content/uploads/2017/01/EAP-3J-Final-Report-2016.pdf, pp. 63-66.</w:t>
      </w:r>
    </w:p>
    <w:p w:rsidR="00000000" w:rsidDel="00000000" w:rsidP="00000000" w:rsidRDefault="00000000" w:rsidRPr="00000000" w14:paraId="000000C2">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26 ARSTEIN-KERSLAKE, A., WATSON, J., BROWNING, M., MARTINIS, J., &amp; BLANCK, P. (2017). Future Directions in Supported Decision-Making. Disability Studies Quarterly, 37(1). https://doi.org/10.18061/dsq.v37i1.5070.</w:t>
      </w:r>
    </w:p>
    <w:p w:rsidR="00000000" w:rsidDel="00000000" w:rsidP="00000000" w:rsidRDefault="00000000" w:rsidRPr="00000000" w14:paraId="000000C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27 DINERSTEIN, R. (2012). Implementing Legal Capacity Under Article 12 of the UN Convention on the Rights of Persons with Disabilities: The Difficult Road From Guardianship to Supported Decision-Making. Human Rights Brief, 19(2), 8-12. Recuperado de http://digitalcommons.wcl.american.edu/hrbrief/vol19/iss2/2, p. 3.</w:t>
      </w:r>
    </w:p>
    <w:p w:rsidR="00000000" w:rsidDel="00000000" w:rsidP="00000000" w:rsidRDefault="00000000" w:rsidRPr="00000000" w14:paraId="000000C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28 Idem.</w:t>
      </w:r>
    </w:p>
    <w:p w:rsidR="00000000" w:rsidDel="00000000" w:rsidP="00000000" w:rsidRDefault="00000000" w:rsidRPr="00000000" w14:paraId="000000C5">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29 Para precisar, las directivas Ulises hacen referencia a la forma en que Ulises enfrenta a las sirenas en su viaje a Ítaca. Para no ser seducido por su canto y arrojarse al mar, ordena a su tripulación a que lo amarre al mástil de forma que pueda oír las instrucciones sin hacerse daño. Las directivas Ulises son designaciones que hacen las personas presumiendo que pueden perder ciertas capacidades cognitivas a futuro y buscan que prevalezca la decisión que se toma en el presente y no la que se pueda decir en ese momento. DEL VILLAR, K. (2015). Should Supported Decision-Making Replace Substituted Decision-Making? The Convention on the Rights of Persons with Disabilities and Coercive Treatment under Queensland’s Mental Health Act 2000. Laws, 4(2), 173-200. https://doi.org/10.3390/laws4020173, p. 189.</w:t>
      </w:r>
    </w:p>
    <w:p w:rsidR="00000000" w:rsidDel="00000000" w:rsidP="00000000" w:rsidRDefault="00000000" w:rsidRPr="00000000" w14:paraId="000000C6">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30 DEVANDAS, C. (2017). Informe de la Relatora Especial sobre los derechos de las personas con discapacidad. 37 período de sesiones. 26 de febrero a 23 de marzo de 2018. A/HRC/37/56. Recuperado de https://undocs.org/es/A/HRC/37/56, párr. 41.</w:t>
      </w:r>
    </w:p>
    <w:p w:rsidR="00000000" w:rsidDel="00000000" w:rsidP="00000000" w:rsidRDefault="00000000" w:rsidRPr="00000000" w14:paraId="000000C7">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34 COMITÉ SOBRE LOS DERECHOS DE LAS PERSONAS CON DISCAPACIDAD. (2014), op. cit., párr. 20-22.</w:t>
      </w:r>
    </w:p>
    <w:p w:rsidR="00000000" w:rsidDel="00000000" w:rsidP="00000000" w:rsidRDefault="00000000" w:rsidRPr="00000000" w14:paraId="000000C8">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35 COMITÉ SOBRE LOS DERECHOS DE LAS PERSONAS CON DISCAPACIDAD. (2012). Observaciones finales del Comité sobre los Derechos de las Personas con Discapacidad. Perú. Séptimo período de sesiones. 16 a 20 de abril de 2012. CRPD/C/PER/CO/1. Recuperado de https://tbinternet.ohchr.org/layouts/15/treatybodyexternal/Download.aspx?symbolno=CRPD%2fC%2fPER%2fCO%2f1&amp;Lang=en, párr 24.</w:t>
      </w:r>
    </w:p>
    <w:p w:rsidR="00000000" w:rsidDel="00000000" w:rsidP="00000000" w:rsidRDefault="00000000" w:rsidRPr="00000000" w14:paraId="000000C9">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36 Publicada en el Diario Oficial El Peruano el 24 de diciembre de 2012. Dicha norma fue reglamentada por el Decreto Supremo 002-2014-MIMP, publicada en el Diario Oficial El Peruano el 8 de abril de 2014.</w:t>
      </w:r>
    </w:p>
    <w:p w:rsidR="00000000" w:rsidDel="00000000" w:rsidP="00000000" w:rsidRDefault="00000000" w:rsidRPr="00000000" w14:paraId="000000CA">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37 COMITÉ SOBRE LOS DERECHOS DE LAS PERSONAS CON DISCAPACIDAD. (2012), op. cit, párr. 26</w:t>
      </w:r>
    </w:p>
    <w:p w:rsidR="00000000" w:rsidDel="00000000" w:rsidP="00000000" w:rsidRDefault="00000000" w:rsidRPr="00000000" w14:paraId="000000CB">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38 Única Disposición Complementaria Derogatoria de la Ley 29973.</w:t>
      </w:r>
    </w:p>
    <w:p w:rsidR="00000000" w:rsidDel="00000000" w:rsidP="00000000" w:rsidRDefault="00000000" w:rsidRPr="00000000" w14:paraId="000000CC">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39 "Son absolutamente incapaces los que por cualquier causa se encuentren privados de discernimiento”.</w:t>
      </w:r>
    </w:p>
    <w:p w:rsidR="00000000" w:rsidDel="00000000" w:rsidP="00000000" w:rsidRDefault="00000000" w:rsidRPr="00000000" w14:paraId="000000CD">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40 "Son relativamente incapaces los retardados mentales”.</w:t>
      </w:r>
    </w:p>
    <w:p w:rsidR="00000000" w:rsidDel="00000000" w:rsidP="00000000" w:rsidRDefault="00000000" w:rsidRPr="00000000" w14:paraId="000000CE">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41 "Son relativamente incapaces los que adolecen de deterioro mental que les impide expresar su libre voluntad”.</w:t>
      </w:r>
    </w:p>
    <w:p w:rsidR="00000000" w:rsidDel="00000000" w:rsidP="00000000" w:rsidRDefault="00000000" w:rsidRPr="00000000" w14:paraId="000000CF">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42 INTERNATIONAL DISABILITY ALLIANCE. (2017). IDA Report on First Follow up Mission to Peru: Monitoring Implementation of the CRPD Committee's Recommendations. IDA. Recuperado de http://www.internationaldisabilityalliance.org/ida-follow-up-peru-oct2015, pp. 17-20.</w:t>
      </w:r>
    </w:p>
    <w:p w:rsidR="00000000" w:rsidDel="00000000" w:rsidP="00000000" w:rsidRDefault="00000000" w:rsidRPr="00000000" w14:paraId="000000D0">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43 TRIBUNAL CONSTITUCIONAL. (2006). Sentencia recaída en el Expediente N° 047-2004-AI/TC. Recuperada de https://www.tc.gob.pe/jurisprudencia/2006/00047-2004-AI.html.</w:t>
      </w:r>
    </w:p>
    <w:p w:rsidR="00000000" w:rsidDel="00000000" w:rsidP="00000000" w:rsidRDefault="00000000" w:rsidRPr="00000000" w14:paraId="000000D1">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44 SEGUNDO JUZGADO CONSTITUCIONAL DE LIMA. (2014). Sentencia recaída en el Expediente N° 25158-2013-0-1801-JR-CI-02. Recuperada de https://legis.pe/sala-confirma-capacidad-juridica-persona-esquizofrenia-declarado-interdicto/.</w:t>
      </w:r>
    </w:p>
    <w:p w:rsidR="00000000" w:rsidDel="00000000" w:rsidP="00000000" w:rsidRDefault="00000000" w:rsidRPr="00000000" w14:paraId="000000D2">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45 TERCERA SALA CIVIL DE LA CORTE SUPERIOR DE JUSTICIA DE LIMA. (2018). Sentencia recaída en el Expediente N° 25158-2013-0-1801-JR-CI-02. Recuperada de https://static.legis.pe/wp-content/uploads/2018/06/Sala-confirma-capacidad-juridica-de-persona-con-esquizofrenia-Legis.pe_.pdf.</w:t>
      </w:r>
    </w:p>
    <w:p w:rsidR="00000000" w:rsidDel="00000000" w:rsidP="00000000" w:rsidRDefault="00000000" w:rsidRPr="00000000" w14:paraId="000000D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46 El requisito de interdicción está contemplado en el Texto Único de Procedimientos Administrativos de la ONP, aprobado por Decreto Supremo N° 251-2012-EF, aprobado el 14 de diciembre de 2012: "ORDEN 21. PENSIÓN DE SOBREVIVIENTES - CAUSANTE NO PENSIONISTA (VIUDEZ, ORFANDAD Y ASCENDIENTES) (...) B. PENSIÓN DE ORFANDAD (...) En caso de hijos mayores de edad incapacitados: 1. Copia de Resolución Judicial que nombra al Curador, si éste inicia el trámite y la Constancia de su Inscripción en SUNARP (...)”.</w:t>
      </w:r>
    </w:p>
    <w:p w:rsidR="00000000" w:rsidDel="00000000" w:rsidP="00000000" w:rsidRDefault="00000000" w:rsidRPr="00000000" w14:paraId="000000D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47 TERCER JUZGADO DE FAMILIA DE CUSCO. (2015). Sentencia recaída en el Expediente N° 01305-2012-0-1001-JR-FC-03. Recuperada de http://www.gacetajuridica.com.pe/envios-laley/SENTENCIA-CUSCO1.pdf.</w:t>
      </w:r>
    </w:p>
    <w:p w:rsidR="00000000" w:rsidDel="00000000" w:rsidP="00000000" w:rsidRDefault="00000000" w:rsidRPr="00000000" w14:paraId="000000D5">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48 El Equipo multidisciplinario de familia es un equipo de funcionarios de diversas profesiones que asiste a los juzgados con competencia en familia. Los equipos realizan evaluaciones, entrevistas, diagnósticos e informes para los juzgados en familia, asisten a audiencias y realizan seguimiento a los casos asignados.</w:t>
      </w:r>
    </w:p>
    <w:p w:rsidR="00000000" w:rsidDel="00000000" w:rsidP="00000000" w:rsidRDefault="00000000" w:rsidRPr="00000000" w14:paraId="000000D6">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49 El artículo 14 de la Ley Orgánica del Poder Judicial (Decreto Supremo N° 017-93-JUS) dispone que "de conformidad con el Art. 236 de la Constitución, cuando los Magistrados al momento de fallar el fondo de la cuestión de su competencia, en cualquier clase de proceso o especialidad, encuentren que hay incompatibilidad en su interpretación, de una disposición constitucional y una con rango de ley, resuelven la causa con arreglo a la primera. Las sentencias así expedidas son elevadas en consulta a la Sala Constitucional y Social de la Corte Suprema, si no fueran impugnadas. Lo son igualmente las sentencias en segunda instancia en las que se aplique este mismo precepto, aun cuando contra éstas no quepa recurso de casación.”</w:t>
      </w:r>
    </w:p>
    <w:p w:rsidR="00000000" w:rsidDel="00000000" w:rsidP="00000000" w:rsidRDefault="00000000" w:rsidRPr="00000000" w14:paraId="000000D7">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50 VERANO, C.; CONSTANTINO, R. &amp; BREGAGLIO, R. (2018). Selección de Jurisprudencia Constitucional del Perú en materia de discapacidad desde la entrada en vigor de la Convención sobre los Derechos de las Personas con Discapacidad. Revista Latinoamericana en Discapacidad, Sociedad y Derechos Humanos, 2(2), pp. 185-204. Recuperado de </w:t>
      </w:r>
    </w:p>
    <w:p w:rsidR="00000000" w:rsidDel="00000000" w:rsidP="00000000" w:rsidRDefault="00000000" w:rsidRPr="00000000" w14:paraId="000000D8">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http://redcdpd.net/revista/index.php/revista/article/view/120/67, p. 203.</w:t>
      </w:r>
    </w:p>
    <w:p w:rsidR="00000000" w:rsidDel="00000000" w:rsidP="00000000" w:rsidRDefault="00000000" w:rsidRPr="00000000" w14:paraId="000000D9">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51 El artículo 59 de la LGPD señala: “La persona con discapacidad severa que se encuentre en situación de pobreza bajo los criterios del Sistema de Focalización de Hogares (Sisfoh) y que no tenga un ingreso o pensión que provenga del ámbito público o privado recibe una pensión no contributiva a cargo del Estado. Corresponde a las direcciones de Salud expedir los certificados de discapacidad severa y a Conadis registrarlos. (...)”</w:t>
      </w:r>
    </w:p>
    <w:p w:rsidR="00000000" w:rsidDel="00000000" w:rsidP="00000000" w:rsidRDefault="00000000" w:rsidRPr="00000000" w14:paraId="000000DA">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52 El procedimiento para autorizar el cobro de la pensión de usuarios mayores de edad que no puedan manifestar su voluntad y menores de edad del programa CONTIGO, publicado el 2 de mayo de 2018, puede ser revisado en el siguiente enlace: </w:t>
      </w:r>
    </w:p>
    <w:p w:rsidR="00000000" w:rsidDel="00000000" w:rsidP="00000000" w:rsidRDefault="00000000" w:rsidRPr="00000000" w14:paraId="000000DB">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http://www.juntos.gob.pe/modulos/autorizaciones/normativa/PROCEDIMIENTO_DE_AUTORIZACION_DE_COBRO.pdf. El artículo 6.2.2 señala que una persona puede solicitar autorización para realizar el cobro de una persona que no puede manifestar voluntad si se vive con dicha persona y se asume un compromiso con respecto al uso del dinero.</w:t>
      </w:r>
    </w:p>
    <w:p w:rsidR="00000000" w:rsidDel="00000000" w:rsidP="00000000" w:rsidRDefault="00000000" w:rsidRPr="00000000" w14:paraId="000000DC">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53 La CEDIS estuvo conformada por los congresistas Jhon Reynaga (Presidente) y Rosa Mavila; el Presidente del Consejo Nacional para la Integración de la Persona con Discapacidad (CONADIS); un representante del Poder Judicial, un representante de las Facultades de Derecho del país (puesto ocupado por la Facultad de Derecho de la Pontificia Universidad Católica del Perú); un representante de la Defensoría del Pueblo; un representante del Registro Nacional de Identificación y Estado Civil (RENIEC); y tres representantes de sociedad civil (puestos ocupados por Álamo Perú - organización de personas con discapacidad psicosocial, Sociedad Peruana de Síndrome Down - organización de familiares de personas con Síndrome Down -, y Sociedad y Discapacidad - SODIS, una organización no gubernamental especializada en temas de discapacidad).</w:t>
      </w:r>
    </w:p>
    <w:p w:rsidR="00000000" w:rsidDel="00000000" w:rsidP="00000000" w:rsidRDefault="00000000" w:rsidRPr="00000000" w14:paraId="000000DD">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54 Ley 30823, Ley que delega en el Poder Ejecutivo la facultad de legislar en materia de gestión económica y competitividad, de integridad y lucha contra la corrupción, de prevención y protección de personas en situación de violencia y vulnerabilidad y de modernización de la gestión del Estado. Publicada en el Diario Oficial El Peruano el 19 de julio de 2018.</w:t>
      </w:r>
    </w:p>
    <w:p w:rsidR="00000000" w:rsidDel="00000000" w:rsidP="00000000" w:rsidRDefault="00000000" w:rsidRPr="00000000" w14:paraId="000000DE">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55 La redacción vigente del artículo 3 es la siguiente: “Toda persona tiene capacidad jurídica para el goce y ejercicio de sus derechos. La capacidad de ejercicio solo puede ser restringida por ley. Las personas con discapacidad tienen capacidad de ejercicio en igualdad de condiciones en todos los aspectos de la vida.”</w:t>
      </w:r>
    </w:p>
    <w:p w:rsidR="00000000" w:rsidDel="00000000" w:rsidP="00000000" w:rsidRDefault="00000000" w:rsidRPr="00000000" w14:paraId="000000DF">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56 La redacción vigente del artículo 42 es la siguiente: “Toda persona mayor de dieciocho años tiene plena capacidad de ejercicio. Esto incluye a todas las personas con discapacidad, en igualdad de condiciones con las demás y en todos los aspectos de la vida, independientemente de si usan o requieren de ajustes razonables o apoyos para la manifestación de su voluntad.”</w:t>
      </w:r>
    </w:p>
    <w:p w:rsidR="00000000" w:rsidDel="00000000" w:rsidP="00000000" w:rsidRDefault="00000000" w:rsidRPr="00000000" w14:paraId="000000E0">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57 Sin embargo, cabe notar que el Código aún establece que los ebrios habituales, los que incurren en mala gestión, los toxicómanos, los pródigos y los que tienen una sentencia penal que lleva anexa una interdicción se consideran personas “con capacidad de ejercicio restringida”. Esto sin duda representa un riesgo, pues se abre una puerta para que una persona con discapacidad pueda ser (por su discapacidad) considerada mala gestora o pródiga, y ser sometida a un proceso de curatela. De acuerdo con Espinoza Espinoza, para ser considerado pródigo se requiere haber “despilfarrado” más de la mitad de las propiedades o una parte significativa del dinero que podría ser dejado en herencia. En GACETA JURÍDICA. (s.f.). Código Civil Comentado. Lima: Gaceta Jurídica, p. 297.</w:t>
      </w:r>
    </w:p>
    <w:p w:rsidR="00000000" w:rsidDel="00000000" w:rsidP="00000000" w:rsidRDefault="00000000" w:rsidRPr="00000000" w14:paraId="000000E1">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58 Mientras la Segunda Disposición Complementaria Final señaló que cualquier persona puede solicitar que una persona con interdicción pase a un régimen de apoyos y salvaguardias; la Primera Disposición Complementaria Transitoria establece que: “El Juez transforma los siguientes procesos a uno de apoyos y salvaguardias: a) Aquellos procesos de interdicción que cuenten con sentencia firme donde se haya nombrado curador para la persona con discapacidad. En estos casos, con la entrada en vigencia de la presente Ley, las personas con discapacidad tienen capacidad de goce y de ejercicio, siendo aplicables las reglas establecidas en el Capítulo Cuarto al Título II de la Sección Cuarta del Libro III del Código Civil. b) Aquellos procesos de interdicción en trámite, iniciados con anterioridad a la vigencia de la presente Ley. En estos casos, se suspende la tramitación del proceso y se aplican las reglas establecidas en el Capítulo Cuarto al Título II de la Sección Cuarta del Libro III del Código Civil. El Consejo Ejecutivo del Poder Judicial establece las reglas y procedimientos necesarios para el correcto funcionamiento de la transición al sistema de apoyos en observancia obligatoria del modelo social de la discapacidad.”</w:t>
      </w:r>
    </w:p>
    <w:p w:rsidR="00000000" w:rsidDel="00000000" w:rsidP="00000000" w:rsidRDefault="00000000" w:rsidRPr="00000000" w14:paraId="000000E2">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59 Resolución Administrativa 046-2019-CE-PJ, publicada el 12 de enero de 2019. Dicho reglamento estableció dos vías procedimentales: una para los casos en trámite de interdicción y otra para los ya sentenciados.</w:t>
      </w:r>
    </w:p>
    <w:p w:rsidR="00000000" w:rsidDel="00000000" w:rsidP="00000000" w:rsidRDefault="00000000" w:rsidRPr="00000000" w14:paraId="000000E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60 Ver pies de página </w:t>
      </w:r>
      <w:r w:rsidDel="00000000" w:rsidR="00000000" w:rsidRPr="00000000">
        <w:rPr>
          <w:rFonts w:ascii="Quattrocento Sans" w:cs="Quattrocento Sans" w:eastAsia="Quattrocento Sans" w:hAnsi="Quattrocento Sans"/>
          <w:sz w:val="22"/>
          <w:szCs w:val="22"/>
          <w:rtl w:val="0"/>
        </w:rPr>
        <w:t xml:space="preserve">45</w:t>
      </w:r>
      <w:r w:rsidDel="00000000" w:rsidR="00000000" w:rsidRPr="00000000">
        <w:rPr>
          <w:rFonts w:ascii="Calibri" w:cs="Calibri" w:eastAsia="Calibri" w:hAnsi="Calibri"/>
          <w:sz w:val="22"/>
          <w:szCs w:val="22"/>
          <w:rtl w:val="0"/>
        </w:rPr>
        <w:t xml:space="preserve">y 46.</w:t>
      </w:r>
    </w:p>
    <w:p w:rsidR="00000000" w:rsidDel="00000000" w:rsidP="00000000" w:rsidRDefault="00000000" w:rsidRPr="00000000" w14:paraId="000000E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61 De acuerdo con lo previsto en el artículo 9 de la CDPD, las medidas de accesibilidad deben entenderse como "medidas pertinentes para asegurar el acceso de las personas con discapacidad, en igualdad de condiciones con las demás, al entorno físico, el transporte, la información y las comunicaciones, incluidos los sistemas y las tecnologías de la información y las comunicaciones, y a otros servicios e instalaciones abiertos al público o de uso público, tanto en zonas urbanas como rurales.”</w:t>
      </w:r>
    </w:p>
    <w:p w:rsidR="00000000" w:rsidDel="00000000" w:rsidP="00000000" w:rsidRDefault="00000000" w:rsidRPr="00000000" w14:paraId="000000E5">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62 De acuerdo con el artículo 2 de la CDPD los ajustes razonables son "las modificaciones y adaptaciones necesarias y adecuadas que no impongan una carga desproporcionada o indebida, cuando se requieran en un caso particular, para garantizar a las personas con discapacidad el goce o ejercicio, en igualdad de condiciones con las demás, de todos los derechos humanos y libertades fundamentales”.</w:t>
      </w:r>
    </w:p>
    <w:p w:rsidR="00000000" w:rsidDel="00000000" w:rsidP="00000000" w:rsidRDefault="00000000" w:rsidRPr="00000000" w14:paraId="000000E6">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63 DEVANDAS, C. (2017)., op. cit., párr. 41.</w:t>
      </w:r>
    </w:p>
    <w:p w:rsidR="00000000" w:rsidDel="00000000" w:rsidP="00000000" w:rsidRDefault="00000000" w:rsidRPr="00000000" w14:paraId="000000E7">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64 Como se ha señalado, el juez debe, necesariamente, determinar la forma, duración y alcance de la actuación del apoyo.</w:t>
      </w:r>
    </w:p>
    <w:p w:rsidR="00000000" w:rsidDel="00000000" w:rsidP="00000000" w:rsidRDefault="00000000" w:rsidRPr="00000000" w14:paraId="000000E8">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65 El artículo 21 señala que “(...) 21.3 De manera adicional, la persona que designa el apoyo puede determinar las medidas de salvaguardia que desee, que pueden comprender, entre otras, las siguientes:</w:t>
      </w:r>
    </w:p>
    <w:p w:rsidR="00000000" w:rsidDel="00000000" w:rsidP="00000000" w:rsidRDefault="00000000" w:rsidRPr="00000000" w14:paraId="000000E9">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Rendición de cuentas, adjuntando los documentos que sustenten la administración de los bienes.</w:t>
      </w:r>
    </w:p>
    <w:p w:rsidR="00000000" w:rsidDel="00000000" w:rsidP="00000000" w:rsidRDefault="00000000" w:rsidRPr="00000000" w14:paraId="000000EA">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b) Realización de auditorías.</w:t>
      </w:r>
    </w:p>
    <w:p w:rsidR="00000000" w:rsidDel="00000000" w:rsidP="00000000" w:rsidRDefault="00000000" w:rsidRPr="00000000" w14:paraId="000000EB">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 Supervisión periódica inopinada.</w:t>
      </w:r>
    </w:p>
    <w:p w:rsidR="00000000" w:rsidDel="00000000" w:rsidP="00000000" w:rsidRDefault="00000000" w:rsidRPr="00000000" w14:paraId="000000EC">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 Realización de visitas domiciliarias inopinadas.</w:t>
      </w:r>
    </w:p>
    <w:p w:rsidR="00000000" w:rsidDel="00000000" w:rsidP="00000000" w:rsidRDefault="00000000" w:rsidRPr="00000000" w14:paraId="000000ED">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 Realización de entrevistas con la persona designada como apoyo y personas cercanas a la persona con discapacidad.</w:t>
      </w:r>
    </w:p>
    <w:p w:rsidR="00000000" w:rsidDel="00000000" w:rsidP="00000000" w:rsidRDefault="00000000" w:rsidRPr="00000000" w14:paraId="000000EE">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 Requerir información a las instituciones públicas o privadas, cuando el caso lo amerite o cualquier otra diligencia.</w:t>
      </w:r>
    </w:p>
    <w:p w:rsidR="00000000" w:rsidDel="00000000" w:rsidP="00000000" w:rsidRDefault="00000000" w:rsidRPr="00000000" w14:paraId="000000EF">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66 Artículo 659-E.- Excepción a la designación de los apoyos por juez</w:t>
      </w:r>
    </w:p>
    <w:p w:rsidR="00000000" w:rsidDel="00000000" w:rsidP="00000000" w:rsidRDefault="00000000" w:rsidRPr="00000000" w14:paraId="000000F0">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 No pueden ser designados como apoyos las personas condenadas por violencia familiar o personas condenadas por violencia sexual (...).</w:t>
      </w:r>
    </w:p>
    <w:p w:rsidR="00000000" w:rsidDel="00000000" w:rsidP="00000000" w:rsidRDefault="00000000" w:rsidRPr="00000000" w14:paraId="000000F1">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67 GOODING, P. (2013). Supported Decision-Making: A Rights-Based Disability Concept and its Implications for Mental Health Law. Psychiatry, Psychology and Law, 20(3), 431-451. https://doi.org/10.1080/13218719.2012.711683, p. 442.</w:t>
      </w:r>
    </w:p>
    <w:p w:rsidR="00000000" w:rsidDel="00000000" w:rsidP="00000000" w:rsidRDefault="00000000" w:rsidRPr="00000000" w14:paraId="000000F2">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3">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4">
      <w:pPr>
        <w:pBdr>
          <w:top w:space="0" w:sz="0" w:val="nil"/>
          <w:left w:space="0" w:sz="0" w:val="nil"/>
          <w:bottom w:space="0" w:sz="0" w:val="nil"/>
          <w:right w:space="0" w:sz="0" w:val="nil"/>
          <w:between w:space="0" w:sz="0" w:val="nil"/>
        </w:pBd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5">
      <w:pPr>
        <w:spacing w:line="360" w:lineRule="auto"/>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F6">
      <w:pPr>
        <w:spacing w:line="360" w:lineRule="auto"/>
        <w:jc w:val="both"/>
        <w:rPr>
          <w:rFonts w:ascii="Calibri" w:cs="Calibri" w:eastAsia="Calibri" w:hAnsi="Calibri"/>
          <w:sz w:val="22"/>
          <w:szCs w:val="22"/>
        </w:rPr>
      </w:pPr>
      <w:r w:rsidDel="00000000" w:rsidR="00000000" w:rsidRPr="00000000">
        <w:rPr>
          <w:rtl w:val="0"/>
        </w:rPr>
      </w:r>
    </w:p>
    <w:sectPr>
      <w:pgSz w:h="16840" w:w="11900" w:orient="portrait"/>
      <w:pgMar w:bottom="1440" w:top="1440" w:left="1080" w:right="1080" w:header="0" w:footer="3"/>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Quattrocen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Helvetica Neue">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3"/>
      <w:numFmt w:val="decimal"/>
      <w:lvlText w:val="4.%1."/>
      <w:lvlJc w:val="left"/>
      <w:pPr>
        <w:ind w:left="0" w:firstLine="0"/>
      </w:pPr>
      <w:rPr>
        <w:rFonts w:ascii="Arial" w:cs="Arial" w:eastAsia="Arial" w:hAnsi="Arial"/>
        <w:b w:val="1"/>
        <w:i w:val="0"/>
        <w:smallCaps w:val="0"/>
        <w:strike w:val="0"/>
        <w:color w:val="000000"/>
        <w:sz w:val="23"/>
        <w:szCs w:val="23"/>
        <w:u w:val="none"/>
        <w:vertAlign w:val="baseline"/>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abstractNum w:abstractNumId="2">
    <w:lvl w:ilvl="0">
      <w:start w:val="1"/>
      <w:numFmt w:val="decimal"/>
      <w:lvlText w:val="%1."/>
      <w:lvlJc w:val="left"/>
      <w:pPr>
        <w:ind w:left="0" w:firstLine="0"/>
      </w:pPr>
      <w:rPr>
        <w:rFonts w:ascii="Arial" w:cs="Arial" w:eastAsia="Arial" w:hAnsi="Arial"/>
        <w:b w:val="1"/>
        <w:i w:val="0"/>
        <w:smallCaps w:val="0"/>
        <w:strike w:val="0"/>
        <w:color w:val="000000"/>
        <w:sz w:val="23"/>
        <w:szCs w:val="23"/>
        <w:u w:val="none"/>
        <w:vertAlign w:val="baseline"/>
      </w:rPr>
    </w:lvl>
    <w:lvl w:ilvl="1">
      <w:start w:val="1"/>
      <w:numFmt w:val="decimal"/>
      <w:lvlText w:val="%1.%2."/>
      <w:lvlJc w:val="left"/>
      <w:pPr>
        <w:ind w:left="0" w:firstLine="0"/>
      </w:pPr>
      <w:rPr>
        <w:rFonts w:ascii="Arial" w:cs="Arial" w:eastAsia="Arial" w:hAnsi="Arial"/>
        <w:b w:val="1"/>
        <w:i w:val="0"/>
        <w:smallCaps w:val="0"/>
        <w:strike w:val="0"/>
        <w:color w:val="000000"/>
        <w:sz w:val="23"/>
        <w:szCs w:val="23"/>
        <w:u w:val="none"/>
        <w:vertAlign w:val="baseline"/>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evenAndOddHeaders w:val="1"/>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Helvetica Neue" w:cs="Helvetica Neue" w:eastAsia="Helvetica Neue" w:hAnsi="Helvetica Neue"/>
        <w:sz w:val="24"/>
        <w:szCs w:val="24"/>
        <w:lang w:val="es-ES"/>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line="360" w:lineRule="auto"/>
      <w:jc w:val="both"/>
    </w:pPr>
    <w:rPr>
      <w:rFonts w:ascii="Calibri" w:cs="Calibri" w:eastAsia="Calibri" w:hAnsi="Calibri"/>
      <w:b w:val="1"/>
      <w:sz w:val="22"/>
      <w:szCs w:val="22"/>
    </w:rPr>
  </w:style>
  <w:style w:type="paragraph" w:styleId="Normal" w:default="1">
    <w:name w:val="Normal"/>
    <w:rPr>
      <w:rFonts w:ascii="Microsoft Sans Serif" w:cs="Microsoft Sans Serif" w:eastAsia="Microsoft Sans Serif" w:hAnsi="Microsoft Sans Serif"/>
      <w:color w:val="000000"/>
      <w:lang w:bidi="es-ES" w:eastAsia="es-ES"/>
    </w:rPr>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rPr>
  </w:style>
  <w:style w:type="paragraph" w:styleId="Ttulo5">
    <w:name w:val="heading 5"/>
    <w:basedOn w:val="Normal"/>
    <w:next w:val="Normal"/>
    <w:pPr>
      <w:keepNext w:val="1"/>
      <w:keepLines w:val="1"/>
      <w:spacing w:after="40" w:before="220"/>
      <w:outlineLvl w:val="4"/>
    </w:pPr>
    <w:rPr>
      <w:b w:val="1"/>
      <w:sz w:val="22"/>
      <w:szCs w:val="22"/>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character" w:styleId="Hipervnculo">
    <w:name w:val="Hyperlink"/>
    <w:basedOn w:val="Fuentedeprrafopredeter"/>
    <w:rPr>
      <w:color w:val="0066cc"/>
      <w:u w:val="single"/>
    </w:rPr>
  </w:style>
  <w:style w:type="character" w:styleId="Encabezamientoopiedepgina" w:customStyle="1">
    <w:name w:val="Encabezamiento o pie de página_"/>
    <w:basedOn w:val="Fuentedeprrafopredeter"/>
    <w:link w:val="Encabezamientoopiedepgina0"/>
    <w:rPr>
      <w:rFonts w:ascii="Arial" w:cs="Arial" w:eastAsia="Arial" w:hAnsi="Arial"/>
      <w:b w:val="0"/>
      <w:bCs w:val="0"/>
      <w:i w:val="0"/>
      <w:iCs w:val="0"/>
      <w:smallCaps w:val="0"/>
      <w:strike w:val="0"/>
      <w:sz w:val="19"/>
      <w:szCs w:val="19"/>
      <w:u w:val="none"/>
    </w:rPr>
  </w:style>
  <w:style w:type="character" w:styleId="Ttulo10" w:customStyle="1">
    <w:name w:val="Título #1_"/>
    <w:basedOn w:val="Fuentedeprrafopredeter"/>
    <w:link w:val="Ttulo11"/>
    <w:rPr>
      <w:rFonts w:ascii="Arial" w:cs="Arial" w:eastAsia="Arial" w:hAnsi="Arial"/>
      <w:b w:val="1"/>
      <w:bCs w:val="1"/>
      <w:i w:val="0"/>
      <w:iCs w:val="0"/>
      <w:smallCaps w:val="0"/>
      <w:strike w:val="0"/>
      <w:sz w:val="23"/>
      <w:szCs w:val="23"/>
      <w:u w:val="none"/>
    </w:rPr>
  </w:style>
  <w:style w:type="character" w:styleId="Ttulo12" w:customStyle="1">
    <w:name w:val="Título #1"/>
    <w:basedOn w:val="Ttulo10"/>
    <w:rPr>
      <w:rFonts w:ascii="Arial" w:cs="Arial" w:eastAsia="Arial" w:hAnsi="Arial"/>
      <w:b w:val="1"/>
      <w:bCs w:val="1"/>
      <w:i w:val="0"/>
      <w:iCs w:val="0"/>
      <w:smallCaps w:val="0"/>
      <w:strike w:val="0"/>
      <w:color w:val="000000"/>
      <w:spacing w:val="0"/>
      <w:w w:val="100"/>
      <w:position w:val="0"/>
      <w:sz w:val="23"/>
      <w:szCs w:val="23"/>
      <w:u w:val="none"/>
      <w:lang w:bidi="es-ES" w:eastAsia="es-ES" w:val="es-ES"/>
    </w:rPr>
  </w:style>
  <w:style w:type="character" w:styleId="Cuerpodeltexto2" w:customStyle="1">
    <w:name w:val="Cuerpo del texto (2)_"/>
    <w:basedOn w:val="Fuentedeprrafopredeter"/>
    <w:link w:val="Cuerpodeltexto20"/>
    <w:rPr>
      <w:rFonts w:ascii="Arial" w:cs="Arial" w:eastAsia="Arial" w:hAnsi="Arial"/>
      <w:b w:val="0"/>
      <w:bCs w:val="0"/>
      <w:i w:val="0"/>
      <w:iCs w:val="0"/>
      <w:smallCaps w:val="0"/>
      <w:strike w:val="0"/>
      <w:sz w:val="22"/>
      <w:szCs w:val="22"/>
      <w:u w:val="none"/>
    </w:rPr>
  </w:style>
  <w:style w:type="character" w:styleId="Notaalpie" w:customStyle="1">
    <w:name w:val="Nota al pie_"/>
    <w:basedOn w:val="Fuentedeprrafopredeter"/>
    <w:link w:val="Notaalpie0"/>
    <w:rPr>
      <w:rFonts w:ascii="Arial" w:cs="Arial" w:eastAsia="Arial" w:hAnsi="Arial"/>
      <w:b w:val="0"/>
      <w:bCs w:val="0"/>
      <w:i w:val="0"/>
      <w:iCs w:val="0"/>
      <w:smallCaps w:val="0"/>
      <w:strike w:val="0"/>
      <w:sz w:val="19"/>
      <w:szCs w:val="19"/>
      <w:u w:val="none"/>
    </w:rPr>
  </w:style>
  <w:style w:type="character" w:styleId="Encabezamientoopiedepgina1" w:customStyle="1">
    <w:name w:val="Encabezamiento o pie de página"/>
    <w:basedOn w:val="Encabezamientoopiedepgina"/>
    <w:rPr>
      <w:rFonts w:ascii="Arial" w:cs="Arial" w:eastAsia="Arial" w:hAnsi="Arial"/>
      <w:b w:val="0"/>
      <w:bCs w:val="0"/>
      <w:i w:val="0"/>
      <w:iCs w:val="0"/>
      <w:smallCaps w:val="0"/>
      <w:strike w:val="0"/>
      <w:color w:val="000000"/>
      <w:spacing w:val="0"/>
      <w:w w:val="100"/>
      <w:position w:val="0"/>
      <w:sz w:val="19"/>
      <w:szCs w:val="19"/>
      <w:u w:val="none"/>
      <w:lang w:bidi="es-ES" w:eastAsia="es-ES" w:val="es-ES"/>
    </w:rPr>
  </w:style>
  <w:style w:type="character" w:styleId="Cuerpodeltexto2115ptoNegrita" w:customStyle="1">
    <w:name w:val="Cuerpo del texto (2) + 11;5 pto;Negrita"/>
    <w:basedOn w:val="Cuerpodeltexto2"/>
    <w:rPr>
      <w:rFonts w:ascii="Arial" w:cs="Arial" w:eastAsia="Arial" w:hAnsi="Arial"/>
      <w:b w:val="1"/>
      <w:bCs w:val="1"/>
      <w:i w:val="0"/>
      <w:iCs w:val="0"/>
      <w:smallCaps w:val="0"/>
      <w:strike w:val="0"/>
      <w:color w:val="000000"/>
      <w:spacing w:val="0"/>
      <w:w w:val="100"/>
      <w:position w:val="0"/>
      <w:sz w:val="23"/>
      <w:szCs w:val="23"/>
      <w:u w:val="none"/>
      <w:lang w:bidi="es-ES" w:eastAsia="es-ES" w:val="es-ES"/>
    </w:rPr>
  </w:style>
  <w:style w:type="character" w:styleId="Cuerpodeltexto212ptoCursiva" w:customStyle="1">
    <w:name w:val="Cuerpo del texto (2) + 12 pto;Cursiva"/>
    <w:basedOn w:val="Cuerpodeltexto2"/>
    <w:rPr>
      <w:rFonts w:ascii="Arial" w:cs="Arial" w:eastAsia="Arial" w:hAnsi="Arial"/>
      <w:b w:val="0"/>
      <w:bCs w:val="0"/>
      <w:i w:val="1"/>
      <w:iCs w:val="1"/>
      <w:smallCaps w:val="0"/>
      <w:strike w:val="0"/>
      <w:color w:val="000000"/>
      <w:spacing w:val="0"/>
      <w:w w:val="100"/>
      <w:position w:val="0"/>
      <w:sz w:val="24"/>
      <w:szCs w:val="24"/>
      <w:u w:val="none"/>
      <w:lang w:bidi="es-ES" w:eastAsia="es-ES" w:val="es-ES"/>
    </w:rPr>
  </w:style>
  <w:style w:type="character" w:styleId="NotaalpieCursiva" w:customStyle="1">
    <w:name w:val="Nota al pie + Cursiva"/>
    <w:basedOn w:val="Notaalpie"/>
    <w:rPr>
      <w:rFonts w:ascii="Arial" w:cs="Arial" w:eastAsia="Arial" w:hAnsi="Arial"/>
      <w:b w:val="0"/>
      <w:bCs w:val="0"/>
      <w:i w:val="1"/>
      <w:iCs w:val="1"/>
      <w:smallCaps w:val="0"/>
      <w:strike w:val="0"/>
      <w:color w:val="000000"/>
      <w:spacing w:val="0"/>
      <w:w w:val="100"/>
      <w:position w:val="0"/>
      <w:sz w:val="19"/>
      <w:szCs w:val="19"/>
      <w:u w:val="none"/>
      <w:lang w:bidi="es-ES" w:eastAsia="es-ES" w:val="es-ES"/>
    </w:rPr>
  </w:style>
  <w:style w:type="character" w:styleId="Notaalpie2" w:customStyle="1">
    <w:name w:val="Nota al pie (2)_"/>
    <w:basedOn w:val="Fuentedeprrafopredeter"/>
    <w:link w:val="Notaalpie20"/>
    <w:rPr>
      <w:rFonts w:ascii="Arial" w:cs="Arial" w:eastAsia="Arial" w:hAnsi="Arial"/>
      <w:b w:val="0"/>
      <w:bCs w:val="0"/>
      <w:i w:val="1"/>
      <w:iCs w:val="1"/>
      <w:smallCaps w:val="0"/>
      <w:strike w:val="0"/>
      <w:sz w:val="19"/>
      <w:szCs w:val="19"/>
      <w:u w:val="none"/>
    </w:rPr>
  </w:style>
  <w:style w:type="character" w:styleId="Notaalpie2Sincursiva" w:customStyle="1">
    <w:name w:val="Nota al pie (2) + Sin cursiva"/>
    <w:basedOn w:val="Notaalpie2"/>
    <w:rPr>
      <w:rFonts w:ascii="Arial" w:cs="Arial" w:eastAsia="Arial" w:hAnsi="Arial"/>
      <w:b w:val="0"/>
      <w:bCs w:val="0"/>
      <w:i w:val="1"/>
      <w:iCs w:val="1"/>
      <w:smallCaps w:val="0"/>
      <w:strike w:val="0"/>
      <w:color w:val="000000"/>
      <w:spacing w:val="0"/>
      <w:w w:val="100"/>
      <w:position w:val="0"/>
      <w:sz w:val="19"/>
      <w:szCs w:val="19"/>
      <w:u w:val="none"/>
      <w:lang w:bidi="es-ES" w:eastAsia="es-ES" w:val="es-ES"/>
    </w:rPr>
  </w:style>
  <w:style w:type="character" w:styleId="Cuerpodeltexto3" w:customStyle="1">
    <w:name w:val="Cuerpo del texto (3)_"/>
    <w:basedOn w:val="Fuentedeprrafopredeter"/>
    <w:link w:val="Cuerpodeltexto30"/>
    <w:rPr>
      <w:rFonts w:ascii="Arial" w:cs="Arial" w:eastAsia="Arial" w:hAnsi="Arial"/>
      <w:b w:val="0"/>
      <w:bCs w:val="0"/>
      <w:i w:val="0"/>
      <w:iCs w:val="0"/>
      <w:smallCaps w:val="0"/>
      <w:strike w:val="0"/>
      <w:sz w:val="19"/>
      <w:szCs w:val="19"/>
      <w:u w:val="none"/>
    </w:rPr>
  </w:style>
  <w:style w:type="character" w:styleId="Cuerpodeltexto3Cursiva" w:customStyle="1">
    <w:name w:val="Cuerpo del texto (3) + Cursiva"/>
    <w:basedOn w:val="Cuerpodeltexto3"/>
    <w:rPr>
      <w:rFonts w:ascii="Arial" w:cs="Arial" w:eastAsia="Arial" w:hAnsi="Arial"/>
      <w:b w:val="0"/>
      <w:bCs w:val="0"/>
      <w:i w:val="1"/>
      <w:iCs w:val="1"/>
      <w:smallCaps w:val="0"/>
      <w:strike w:val="0"/>
      <w:color w:val="000000"/>
      <w:spacing w:val="0"/>
      <w:w w:val="100"/>
      <w:position w:val="0"/>
      <w:sz w:val="19"/>
      <w:szCs w:val="19"/>
      <w:u w:val="none"/>
      <w:lang w:bidi="es-ES" w:eastAsia="es-ES" w:val="es-ES"/>
    </w:rPr>
  </w:style>
  <w:style w:type="character" w:styleId="Cuerpodeltexto31" w:customStyle="1">
    <w:name w:val="Cuerpo del texto (3)"/>
    <w:basedOn w:val="Cuerpodeltexto3"/>
    <w:rPr>
      <w:rFonts w:ascii="Arial" w:cs="Arial" w:eastAsia="Arial" w:hAnsi="Arial"/>
      <w:b w:val="0"/>
      <w:bCs w:val="0"/>
      <w:i w:val="0"/>
      <w:iCs w:val="0"/>
      <w:smallCaps w:val="0"/>
      <w:strike w:val="0"/>
      <w:color w:val="000000"/>
      <w:spacing w:val="0"/>
      <w:w w:val="100"/>
      <w:position w:val="0"/>
      <w:sz w:val="19"/>
      <w:szCs w:val="19"/>
      <w:u w:val="single"/>
      <w:lang w:bidi="en-US" w:eastAsia="en-US" w:val="en-US"/>
    </w:rPr>
  </w:style>
  <w:style w:type="character" w:styleId="Notaalpie1" w:customStyle="1">
    <w:name w:val="Nota al pie"/>
    <w:basedOn w:val="Notaalpie"/>
    <w:rPr>
      <w:rFonts w:ascii="Arial" w:cs="Arial" w:eastAsia="Arial" w:hAnsi="Arial"/>
      <w:b w:val="0"/>
      <w:bCs w:val="0"/>
      <w:i w:val="0"/>
      <w:iCs w:val="0"/>
      <w:smallCaps w:val="0"/>
      <w:strike w:val="0"/>
      <w:color w:val="000000"/>
      <w:spacing w:val="0"/>
      <w:w w:val="100"/>
      <w:position w:val="0"/>
      <w:sz w:val="19"/>
      <w:szCs w:val="19"/>
      <w:u w:val="single"/>
      <w:lang w:bidi="es-ES" w:eastAsia="es-ES" w:val="es-ES"/>
    </w:rPr>
  </w:style>
  <w:style w:type="character" w:styleId="Cuerpodeltexto4" w:customStyle="1">
    <w:name w:val="Cuerpo del texto (4)_"/>
    <w:basedOn w:val="Fuentedeprrafopredeter"/>
    <w:link w:val="Cuerpodeltexto40"/>
    <w:rPr>
      <w:rFonts w:ascii="Arial" w:cs="Arial" w:eastAsia="Arial" w:hAnsi="Arial"/>
      <w:b w:val="1"/>
      <w:bCs w:val="1"/>
      <w:i w:val="0"/>
      <w:iCs w:val="0"/>
      <w:smallCaps w:val="0"/>
      <w:strike w:val="0"/>
      <w:sz w:val="23"/>
      <w:szCs w:val="23"/>
      <w:u w:val="none"/>
    </w:rPr>
  </w:style>
  <w:style w:type="character" w:styleId="Cuerpodeltexto2105ptoNegrita" w:customStyle="1">
    <w:name w:val="Cuerpo del texto (2) + 10;5 pto;Negrita"/>
    <w:basedOn w:val="Cuerpodeltexto2"/>
    <w:rPr>
      <w:rFonts w:ascii="Arial" w:cs="Arial" w:eastAsia="Arial" w:hAnsi="Arial"/>
      <w:b w:val="1"/>
      <w:bCs w:val="1"/>
      <w:i w:val="0"/>
      <w:iCs w:val="0"/>
      <w:smallCaps w:val="0"/>
      <w:strike w:val="0"/>
      <w:color w:val="ffffff"/>
      <w:spacing w:val="0"/>
      <w:w w:val="100"/>
      <w:position w:val="0"/>
      <w:sz w:val="21"/>
      <w:szCs w:val="21"/>
      <w:u w:val="none"/>
      <w:lang w:bidi="es-ES" w:eastAsia="es-ES" w:val="es-ES"/>
    </w:rPr>
  </w:style>
  <w:style w:type="character" w:styleId="Cuerpodeltexto2105ptoNegrita0" w:customStyle="1">
    <w:name w:val="Cuerpo del texto (2) + 10;5 pto;Negrita"/>
    <w:basedOn w:val="Cuerpodeltexto2"/>
    <w:rPr>
      <w:rFonts w:ascii="Arial" w:cs="Arial" w:eastAsia="Arial" w:hAnsi="Arial"/>
      <w:b w:val="1"/>
      <w:bCs w:val="1"/>
      <w:i w:val="0"/>
      <w:iCs w:val="0"/>
      <w:smallCaps w:val="0"/>
      <w:strike w:val="0"/>
      <w:color w:val="000000"/>
      <w:spacing w:val="0"/>
      <w:w w:val="100"/>
      <w:position w:val="0"/>
      <w:sz w:val="21"/>
      <w:szCs w:val="21"/>
      <w:u w:val="none"/>
      <w:lang w:bidi="es-ES" w:eastAsia="es-ES" w:val="es-ES"/>
    </w:rPr>
  </w:style>
  <w:style w:type="character" w:styleId="Cuerpodeltexto2105ptoNegritaCursiva" w:customStyle="1">
    <w:name w:val="Cuerpo del texto (2) + 10;5 pto;Negrita;Cursiva"/>
    <w:basedOn w:val="Cuerpodeltexto2"/>
    <w:rPr>
      <w:rFonts w:ascii="Arial" w:cs="Arial" w:eastAsia="Arial" w:hAnsi="Arial"/>
      <w:b w:val="1"/>
      <w:bCs w:val="1"/>
      <w:i w:val="1"/>
      <w:iCs w:val="1"/>
      <w:smallCaps w:val="0"/>
      <w:strike w:val="0"/>
      <w:color w:val="000000"/>
      <w:spacing w:val="0"/>
      <w:w w:val="100"/>
      <w:position w:val="0"/>
      <w:sz w:val="21"/>
      <w:szCs w:val="21"/>
      <w:u w:val="none"/>
      <w:lang w:bidi="es-ES" w:eastAsia="es-ES" w:val="es-ES"/>
    </w:rPr>
  </w:style>
  <w:style w:type="character" w:styleId="Cuerpodeltexto2105pto" w:customStyle="1">
    <w:name w:val="Cuerpo del texto (2) + 10;5 pto"/>
    <w:basedOn w:val="Cuerpodeltexto2"/>
    <w:rPr>
      <w:rFonts w:ascii="Arial" w:cs="Arial" w:eastAsia="Arial" w:hAnsi="Arial"/>
      <w:b w:val="0"/>
      <w:bCs w:val="0"/>
      <w:i w:val="0"/>
      <w:iCs w:val="0"/>
      <w:smallCaps w:val="0"/>
      <w:strike w:val="0"/>
      <w:color w:val="000000"/>
      <w:spacing w:val="0"/>
      <w:w w:val="100"/>
      <w:position w:val="0"/>
      <w:sz w:val="21"/>
      <w:szCs w:val="21"/>
      <w:u w:val="none"/>
      <w:lang w:bidi="es-ES" w:eastAsia="es-ES" w:val="es-ES"/>
    </w:rPr>
  </w:style>
  <w:style w:type="character" w:styleId="Leyendadelatabla2" w:customStyle="1">
    <w:name w:val="Leyenda de la tabla (2)_"/>
    <w:basedOn w:val="Fuentedeprrafopredeter"/>
    <w:link w:val="Leyendadelatabla20"/>
    <w:rPr>
      <w:rFonts w:ascii="Arial" w:cs="Arial" w:eastAsia="Arial" w:hAnsi="Arial"/>
      <w:b w:val="0"/>
      <w:bCs w:val="0"/>
      <w:i w:val="1"/>
      <w:iCs w:val="1"/>
      <w:smallCaps w:val="0"/>
      <w:strike w:val="0"/>
      <w:sz w:val="19"/>
      <w:szCs w:val="19"/>
      <w:u w:val="none"/>
    </w:rPr>
  </w:style>
  <w:style w:type="character" w:styleId="Cuerpodeltexto5" w:customStyle="1">
    <w:name w:val="Cuerpo del texto (5)_"/>
    <w:basedOn w:val="Fuentedeprrafopredeter"/>
    <w:link w:val="Cuerpodeltexto50"/>
    <w:rPr>
      <w:rFonts w:ascii="Arial" w:cs="Arial" w:eastAsia="Arial" w:hAnsi="Arial"/>
      <w:b w:val="0"/>
      <w:bCs w:val="0"/>
      <w:i w:val="1"/>
      <w:iCs w:val="1"/>
      <w:smallCaps w:val="0"/>
      <w:strike w:val="0"/>
      <w:sz w:val="24"/>
      <w:szCs w:val="24"/>
      <w:u w:val="none"/>
    </w:rPr>
  </w:style>
  <w:style w:type="character" w:styleId="Leyendadelatabla3" w:customStyle="1">
    <w:name w:val="Leyenda de la tabla (3)_"/>
    <w:basedOn w:val="Fuentedeprrafopredeter"/>
    <w:link w:val="Leyendadelatabla30"/>
    <w:rPr>
      <w:rFonts w:ascii="Arial" w:cs="Arial" w:eastAsia="Arial" w:hAnsi="Arial"/>
      <w:b w:val="1"/>
      <w:bCs w:val="1"/>
      <w:i w:val="1"/>
      <w:iCs w:val="1"/>
      <w:smallCaps w:val="0"/>
      <w:strike w:val="0"/>
      <w:sz w:val="21"/>
      <w:szCs w:val="21"/>
      <w:u w:val="none"/>
    </w:rPr>
  </w:style>
  <w:style w:type="character" w:styleId="Leyendadelatabla4" w:customStyle="1">
    <w:name w:val="Leyenda de la tabla (4)_"/>
    <w:basedOn w:val="Fuentedeprrafopredeter"/>
    <w:link w:val="Leyendadelatabla40"/>
    <w:rPr>
      <w:rFonts w:ascii="Courier New" w:cs="Courier New" w:eastAsia="Courier New" w:hAnsi="Courier New"/>
      <w:b w:val="0"/>
      <w:bCs w:val="0"/>
      <w:i w:val="1"/>
      <w:iCs w:val="1"/>
      <w:smallCaps w:val="0"/>
      <w:strike w:val="0"/>
      <w:sz w:val="74"/>
      <w:szCs w:val="74"/>
      <w:u w:val="none"/>
    </w:rPr>
  </w:style>
  <w:style w:type="character" w:styleId="Leyendadelatabla41" w:customStyle="1">
    <w:name w:val="Leyenda de la tabla (4)"/>
    <w:basedOn w:val="Leyendadelatabla4"/>
    <w:rPr>
      <w:rFonts w:ascii="Courier New" w:cs="Courier New" w:eastAsia="Courier New" w:hAnsi="Courier New"/>
      <w:b w:val="0"/>
      <w:bCs w:val="0"/>
      <w:i w:val="1"/>
      <w:iCs w:val="1"/>
      <w:smallCaps w:val="0"/>
      <w:strike w:val="0"/>
      <w:color w:val="000000"/>
      <w:spacing w:val="0"/>
      <w:w w:val="100"/>
      <w:position w:val="0"/>
      <w:sz w:val="74"/>
      <w:szCs w:val="74"/>
      <w:u w:val="none"/>
      <w:lang w:bidi="es-ES" w:eastAsia="es-ES" w:val="es-ES"/>
    </w:rPr>
  </w:style>
  <w:style w:type="character" w:styleId="Cuerpodeltexto225ptoNegritaEscala33" w:customStyle="1">
    <w:name w:val="Cuerpo del texto (2) + 25 pto;Negrita;Escala 33%"/>
    <w:basedOn w:val="Cuerpodeltexto2"/>
    <w:rPr>
      <w:rFonts w:ascii="Arial" w:cs="Arial" w:eastAsia="Arial" w:hAnsi="Arial"/>
      <w:b w:val="1"/>
      <w:bCs w:val="1"/>
      <w:i w:val="0"/>
      <w:iCs w:val="0"/>
      <w:smallCaps w:val="0"/>
      <w:strike w:val="0"/>
      <w:color w:val="000000"/>
      <w:spacing w:val="0"/>
      <w:w w:val="33"/>
      <w:position w:val="0"/>
      <w:sz w:val="50"/>
      <w:szCs w:val="50"/>
      <w:u w:val="none"/>
      <w:lang w:bidi="es-ES" w:eastAsia="es-ES" w:val="es-ES"/>
    </w:rPr>
  </w:style>
  <w:style w:type="character" w:styleId="Leyendadelaimagen" w:customStyle="1">
    <w:name w:val="Leyenda de la imagen_"/>
    <w:basedOn w:val="Fuentedeprrafopredeter"/>
    <w:link w:val="Leyendadelaimagen0"/>
    <w:rPr>
      <w:rFonts w:ascii="Arial" w:cs="Arial" w:eastAsia="Arial" w:hAnsi="Arial"/>
      <w:b w:val="0"/>
      <w:bCs w:val="0"/>
      <w:i w:val="0"/>
      <w:iCs w:val="0"/>
      <w:smallCaps w:val="0"/>
      <w:strike w:val="0"/>
      <w:sz w:val="21"/>
      <w:szCs w:val="21"/>
      <w:u w:val="none"/>
    </w:rPr>
  </w:style>
  <w:style w:type="character" w:styleId="Otros" w:customStyle="1">
    <w:name w:val="Otros_"/>
    <w:basedOn w:val="Fuentedeprrafopredeter"/>
    <w:link w:val="Otros0"/>
    <w:rPr>
      <w:rFonts w:ascii="Times New Roman" w:cs="Times New Roman" w:eastAsia="Times New Roman" w:hAnsi="Times New Roman"/>
      <w:b w:val="0"/>
      <w:bCs w:val="0"/>
      <w:i w:val="0"/>
      <w:iCs w:val="0"/>
      <w:smallCaps w:val="0"/>
      <w:strike w:val="0"/>
      <w:sz w:val="20"/>
      <w:szCs w:val="20"/>
      <w:u w:val="none"/>
    </w:rPr>
  </w:style>
  <w:style w:type="character" w:styleId="Tabladecontenidos" w:customStyle="1">
    <w:name w:val="Tabla de contenidos_"/>
    <w:basedOn w:val="Fuentedeprrafopredeter"/>
    <w:link w:val="Tabladecontenidos0"/>
    <w:rPr>
      <w:rFonts w:ascii="Arial" w:cs="Arial" w:eastAsia="Arial" w:hAnsi="Arial"/>
      <w:b w:val="0"/>
      <w:bCs w:val="0"/>
      <w:i w:val="0"/>
      <w:iCs w:val="0"/>
      <w:smallCaps w:val="0"/>
      <w:strike w:val="0"/>
      <w:sz w:val="21"/>
      <w:szCs w:val="21"/>
      <w:u w:val="none"/>
    </w:rPr>
  </w:style>
  <w:style w:type="character" w:styleId="Cuerpodeltexto6" w:customStyle="1">
    <w:name w:val="Cuerpo del texto (6)_"/>
    <w:basedOn w:val="Fuentedeprrafopredeter"/>
    <w:link w:val="Cuerpodeltexto60"/>
    <w:rPr>
      <w:rFonts w:ascii="Arial" w:cs="Arial" w:eastAsia="Arial" w:hAnsi="Arial"/>
      <w:b w:val="0"/>
      <w:bCs w:val="0"/>
      <w:i w:val="0"/>
      <w:iCs w:val="0"/>
      <w:smallCaps w:val="0"/>
      <w:strike w:val="0"/>
      <w:sz w:val="21"/>
      <w:szCs w:val="21"/>
      <w:u w:val="none"/>
    </w:rPr>
  </w:style>
  <w:style w:type="character" w:styleId="Leyendadelatabla5" w:customStyle="1">
    <w:name w:val="Leyenda de la tabla (5)_"/>
    <w:basedOn w:val="Fuentedeprrafopredeter"/>
    <w:link w:val="Leyendadelatabla50"/>
    <w:rPr>
      <w:rFonts w:ascii="Arial" w:cs="Arial" w:eastAsia="Arial" w:hAnsi="Arial"/>
      <w:b w:val="1"/>
      <w:bCs w:val="1"/>
      <w:i w:val="0"/>
      <w:iCs w:val="0"/>
      <w:smallCaps w:val="0"/>
      <w:strike w:val="0"/>
      <w:sz w:val="23"/>
      <w:szCs w:val="23"/>
      <w:u w:val="none"/>
    </w:rPr>
  </w:style>
  <w:style w:type="character" w:styleId="Cuerpodeltexto2115ptoNegrita0" w:customStyle="1">
    <w:name w:val="Cuerpo del texto (2) + 11;5 pto;Negrita"/>
    <w:basedOn w:val="Cuerpodeltexto2"/>
    <w:rPr>
      <w:rFonts w:ascii="Arial" w:cs="Arial" w:eastAsia="Arial" w:hAnsi="Arial"/>
      <w:b w:val="1"/>
      <w:bCs w:val="1"/>
      <w:i w:val="0"/>
      <w:iCs w:val="0"/>
      <w:smallCaps w:val="0"/>
      <w:strike w:val="0"/>
      <w:color w:val="000000"/>
      <w:spacing w:val="0"/>
      <w:w w:val="100"/>
      <w:position w:val="0"/>
      <w:sz w:val="23"/>
      <w:szCs w:val="23"/>
      <w:u w:val="none"/>
      <w:lang w:bidi="es-ES" w:eastAsia="es-ES" w:val="es-ES"/>
    </w:rPr>
  </w:style>
  <w:style w:type="character" w:styleId="Cuerpodeltexto21" w:customStyle="1">
    <w:name w:val="Cuerpo del texto (2)"/>
    <w:basedOn w:val="Cuerpodeltexto2"/>
    <w:rPr>
      <w:rFonts w:ascii="Arial" w:cs="Arial" w:eastAsia="Arial" w:hAnsi="Arial"/>
      <w:b w:val="0"/>
      <w:bCs w:val="0"/>
      <w:i w:val="0"/>
      <w:iCs w:val="0"/>
      <w:smallCaps w:val="0"/>
      <w:strike w:val="0"/>
      <w:color w:val="000000"/>
      <w:spacing w:val="0"/>
      <w:w w:val="100"/>
      <w:position w:val="0"/>
      <w:sz w:val="22"/>
      <w:szCs w:val="22"/>
      <w:u w:val="none"/>
      <w:lang w:bidi="es-ES" w:eastAsia="es-ES" w:val="es-ES"/>
    </w:rPr>
  </w:style>
  <w:style w:type="character" w:styleId="Cuerpodeltexto24pto" w:customStyle="1">
    <w:name w:val="Cuerpo del texto (2) + 4 pto"/>
    <w:basedOn w:val="Cuerpodeltexto2"/>
    <w:rPr>
      <w:rFonts w:ascii="Arial" w:cs="Arial" w:eastAsia="Arial" w:hAnsi="Arial"/>
      <w:b w:val="0"/>
      <w:bCs w:val="0"/>
      <w:i w:val="0"/>
      <w:iCs w:val="0"/>
      <w:smallCaps w:val="0"/>
      <w:strike w:val="0"/>
      <w:color w:val="000000"/>
      <w:spacing w:val="0"/>
      <w:w w:val="100"/>
      <w:position w:val="0"/>
      <w:sz w:val="8"/>
      <w:szCs w:val="8"/>
      <w:u w:val="none"/>
      <w:lang w:bidi="es-ES" w:eastAsia="es-ES" w:val="es-ES"/>
    </w:rPr>
  </w:style>
  <w:style w:type="character" w:styleId="Leyendadelatabla" w:customStyle="1">
    <w:name w:val="Leyenda de la tabla_"/>
    <w:basedOn w:val="Fuentedeprrafopredeter"/>
    <w:link w:val="Leyendadelatabla0"/>
    <w:rPr>
      <w:rFonts w:ascii="Arial" w:cs="Arial" w:eastAsia="Arial" w:hAnsi="Arial"/>
      <w:b w:val="0"/>
      <w:bCs w:val="0"/>
      <w:i w:val="0"/>
      <w:iCs w:val="0"/>
      <w:smallCaps w:val="0"/>
      <w:strike w:val="0"/>
      <w:sz w:val="19"/>
      <w:szCs w:val="19"/>
      <w:u w:val="none"/>
    </w:rPr>
  </w:style>
  <w:style w:type="character" w:styleId="LeyendadelatablaCursiva" w:customStyle="1">
    <w:name w:val="Leyenda de la tabla + Cursiva"/>
    <w:basedOn w:val="Leyendadelatabla"/>
    <w:rPr>
      <w:rFonts w:ascii="Arial" w:cs="Arial" w:eastAsia="Arial" w:hAnsi="Arial"/>
      <w:b w:val="0"/>
      <w:bCs w:val="0"/>
      <w:i w:val="1"/>
      <w:iCs w:val="1"/>
      <w:smallCaps w:val="0"/>
      <w:strike w:val="0"/>
      <w:color w:val="000000"/>
      <w:spacing w:val="0"/>
      <w:w w:val="100"/>
      <w:position w:val="0"/>
      <w:sz w:val="19"/>
      <w:szCs w:val="19"/>
      <w:u w:val="none"/>
      <w:lang w:bidi="es-ES" w:eastAsia="es-ES" w:val="es-ES"/>
    </w:rPr>
  </w:style>
  <w:style w:type="character" w:styleId="Leyendadelatabla1" w:customStyle="1">
    <w:name w:val="Leyenda de la tabla"/>
    <w:basedOn w:val="Leyendadelatabla"/>
    <w:rPr>
      <w:rFonts w:ascii="Arial" w:cs="Arial" w:eastAsia="Arial" w:hAnsi="Arial"/>
      <w:b w:val="0"/>
      <w:bCs w:val="0"/>
      <w:i w:val="0"/>
      <w:iCs w:val="0"/>
      <w:smallCaps w:val="0"/>
      <w:strike w:val="0"/>
      <w:color w:val="000000"/>
      <w:spacing w:val="0"/>
      <w:w w:val="100"/>
      <w:position w:val="0"/>
      <w:sz w:val="19"/>
      <w:szCs w:val="19"/>
      <w:u w:val="single"/>
      <w:lang w:bidi="es-ES" w:eastAsia="es-ES" w:val="es-ES"/>
    </w:rPr>
  </w:style>
  <w:style w:type="paragraph" w:styleId="Encabezamientoopiedepgina0" w:customStyle="1">
    <w:name w:val="Encabezamiento o pie de página"/>
    <w:basedOn w:val="Normal"/>
    <w:link w:val="Encabezamientoopiedepgina"/>
    <w:pPr>
      <w:shd w:color="auto" w:fill="ffffff" w:val="clear"/>
      <w:spacing w:line="230" w:lineRule="exact"/>
    </w:pPr>
    <w:rPr>
      <w:rFonts w:ascii="Arial" w:cs="Arial" w:eastAsia="Arial" w:hAnsi="Arial"/>
      <w:sz w:val="19"/>
      <w:szCs w:val="19"/>
    </w:rPr>
  </w:style>
  <w:style w:type="paragraph" w:styleId="Ttulo11" w:customStyle="1">
    <w:name w:val="Título #1"/>
    <w:basedOn w:val="Normal"/>
    <w:link w:val="Ttulo10"/>
    <w:pPr>
      <w:shd w:color="auto" w:fill="ffffff" w:val="clear"/>
      <w:spacing w:line="413" w:lineRule="exact"/>
      <w:jc w:val="right"/>
      <w:outlineLvl w:val="0"/>
    </w:pPr>
    <w:rPr>
      <w:rFonts w:ascii="Arial" w:cs="Arial" w:eastAsia="Arial" w:hAnsi="Arial"/>
      <w:b w:val="1"/>
      <w:bCs w:val="1"/>
      <w:sz w:val="23"/>
      <w:szCs w:val="23"/>
    </w:rPr>
  </w:style>
  <w:style w:type="paragraph" w:styleId="Cuerpodeltexto20" w:customStyle="1">
    <w:name w:val="Cuerpo del texto (2)"/>
    <w:basedOn w:val="Normal"/>
    <w:link w:val="Cuerpodeltexto2"/>
    <w:pPr>
      <w:shd w:color="auto" w:fill="ffffff" w:val="clear"/>
      <w:spacing w:before="360" w:line="413" w:lineRule="exact"/>
      <w:jc w:val="both"/>
    </w:pPr>
    <w:rPr>
      <w:rFonts w:ascii="Arial" w:cs="Arial" w:eastAsia="Arial" w:hAnsi="Arial"/>
      <w:sz w:val="22"/>
      <w:szCs w:val="22"/>
    </w:rPr>
  </w:style>
  <w:style w:type="paragraph" w:styleId="Notaalpie0" w:customStyle="1">
    <w:name w:val="Nota al pie"/>
    <w:basedOn w:val="Normal"/>
    <w:link w:val="Notaalpie"/>
    <w:pPr>
      <w:shd w:color="auto" w:fill="ffffff" w:val="clear"/>
      <w:spacing w:line="230" w:lineRule="exact"/>
      <w:jc w:val="both"/>
    </w:pPr>
    <w:rPr>
      <w:rFonts w:ascii="Arial" w:cs="Arial" w:eastAsia="Arial" w:hAnsi="Arial"/>
      <w:sz w:val="19"/>
      <w:szCs w:val="19"/>
    </w:rPr>
  </w:style>
  <w:style w:type="paragraph" w:styleId="Notaalpie20" w:customStyle="1">
    <w:name w:val="Nota al pie (2)"/>
    <w:basedOn w:val="Normal"/>
    <w:link w:val="Notaalpie2"/>
    <w:pPr>
      <w:shd w:color="auto" w:fill="ffffff" w:val="clear"/>
      <w:spacing w:line="230" w:lineRule="exact"/>
      <w:jc w:val="both"/>
    </w:pPr>
    <w:rPr>
      <w:rFonts w:ascii="Arial" w:cs="Arial" w:eastAsia="Arial" w:hAnsi="Arial"/>
      <w:i w:val="1"/>
      <w:iCs w:val="1"/>
      <w:sz w:val="19"/>
      <w:szCs w:val="19"/>
    </w:rPr>
  </w:style>
  <w:style w:type="paragraph" w:styleId="Cuerpodeltexto30" w:customStyle="1">
    <w:name w:val="Cuerpo del texto (3)"/>
    <w:basedOn w:val="Normal"/>
    <w:link w:val="Cuerpodeltexto3"/>
    <w:pPr>
      <w:shd w:color="auto" w:fill="ffffff" w:val="clear"/>
      <w:spacing w:before="180" w:line="230" w:lineRule="exact"/>
      <w:jc w:val="both"/>
    </w:pPr>
    <w:rPr>
      <w:rFonts w:ascii="Arial" w:cs="Arial" w:eastAsia="Arial" w:hAnsi="Arial"/>
      <w:sz w:val="19"/>
      <w:szCs w:val="19"/>
    </w:rPr>
  </w:style>
  <w:style w:type="paragraph" w:styleId="Cuerpodeltexto40" w:customStyle="1">
    <w:name w:val="Cuerpo del texto (4)"/>
    <w:basedOn w:val="Normal"/>
    <w:link w:val="Cuerpodeltexto4"/>
    <w:pPr>
      <w:shd w:color="auto" w:fill="ffffff" w:val="clear"/>
      <w:spacing w:before="120" w:line="0" w:lineRule="atLeast"/>
      <w:jc w:val="center"/>
    </w:pPr>
    <w:rPr>
      <w:rFonts w:ascii="Arial" w:cs="Arial" w:eastAsia="Arial" w:hAnsi="Arial"/>
      <w:b w:val="1"/>
      <w:bCs w:val="1"/>
      <w:sz w:val="23"/>
      <w:szCs w:val="23"/>
    </w:rPr>
  </w:style>
  <w:style w:type="paragraph" w:styleId="Leyendadelatabla20" w:customStyle="1">
    <w:name w:val="Leyenda de la tabla (2)"/>
    <w:basedOn w:val="Normal"/>
    <w:link w:val="Leyendadelatabla2"/>
    <w:pPr>
      <w:shd w:color="auto" w:fill="ffffff" w:val="clear"/>
      <w:spacing w:line="0" w:lineRule="atLeast"/>
    </w:pPr>
    <w:rPr>
      <w:rFonts w:ascii="Arial" w:cs="Arial" w:eastAsia="Arial" w:hAnsi="Arial"/>
      <w:i w:val="1"/>
      <w:iCs w:val="1"/>
      <w:sz w:val="19"/>
      <w:szCs w:val="19"/>
    </w:rPr>
  </w:style>
  <w:style w:type="paragraph" w:styleId="Cuerpodeltexto50" w:customStyle="1">
    <w:name w:val="Cuerpo del texto (5)"/>
    <w:basedOn w:val="Normal"/>
    <w:link w:val="Cuerpodeltexto5"/>
    <w:pPr>
      <w:shd w:color="auto" w:fill="ffffff" w:val="clear"/>
      <w:spacing w:after="180" w:before="180" w:line="317" w:lineRule="exact"/>
      <w:ind w:firstLine="700"/>
      <w:jc w:val="both"/>
    </w:pPr>
    <w:rPr>
      <w:rFonts w:ascii="Arial" w:cs="Arial" w:eastAsia="Arial" w:hAnsi="Arial"/>
      <w:i w:val="1"/>
      <w:iCs w:val="1"/>
    </w:rPr>
  </w:style>
  <w:style w:type="paragraph" w:styleId="Leyendadelatabla30" w:customStyle="1">
    <w:name w:val="Leyenda de la tabla (3)"/>
    <w:basedOn w:val="Normal"/>
    <w:link w:val="Leyendadelatabla3"/>
    <w:pPr>
      <w:shd w:color="auto" w:fill="ffffff" w:val="clear"/>
      <w:spacing w:line="0" w:lineRule="atLeast"/>
    </w:pPr>
    <w:rPr>
      <w:rFonts w:ascii="Arial" w:cs="Arial" w:eastAsia="Arial" w:hAnsi="Arial"/>
      <w:b w:val="1"/>
      <w:bCs w:val="1"/>
      <w:i w:val="1"/>
      <w:iCs w:val="1"/>
      <w:sz w:val="21"/>
      <w:szCs w:val="21"/>
    </w:rPr>
  </w:style>
  <w:style w:type="paragraph" w:styleId="Leyendadelatabla40" w:customStyle="1">
    <w:name w:val="Leyenda de la tabla (4)"/>
    <w:basedOn w:val="Normal"/>
    <w:link w:val="Leyendadelatabla4"/>
    <w:pPr>
      <w:shd w:color="auto" w:fill="ffffff" w:val="clear"/>
      <w:spacing w:line="0" w:lineRule="atLeast"/>
    </w:pPr>
    <w:rPr>
      <w:rFonts w:ascii="Courier New" w:cs="Courier New" w:eastAsia="Courier New" w:hAnsi="Courier New"/>
      <w:i w:val="1"/>
      <w:iCs w:val="1"/>
      <w:sz w:val="74"/>
      <w:szCs w:val="74"/>
    </w:rPr>
  </w:style>
  <w:style w:type="paragraph" w:styleId="Leyendadelaimagen0" w:customStyle="1">
    <w:name w:val="Leyenda de la imagen"/>
    <w:basedOn w:val="Normal"/>
    <w:link w:val="Leyendadelaimagen"/>
    <w:pPr>
      <w:shd w:color="auto" w:fill="ffffff" w:val="clear"/>
      <w:spacing w:line="0" w:lineRule="atLeast"/>
    </w:pPr>
    <w:rPr>
      <w:rFonts w:ascii="Arial" w:cs="Arial" w:eastAsia="Arial" w:hAnsi="Arial"/>
      <w:sz w:val="21"/>
      <w:szCs w:val="21"/>
    </w:rPr>
  </w:style>
  <w:style w:type="paragraph" w:styleId="Otros0" w:customStyle="1">
    <w:name w:val="Otros"/>
    <w:basedOn w:val="Normal"/>
    <w:link w:val="Otros"/>
    <w:pPr>
      <w:shd w:color="auto" w:fill="ffffff" w:val="clear"/>
    </w:pPr>
    <w:rPr>
      <w:rFonts w:ascii="Times New Roman" w:cs="Times New Roman" w:eastAsia="Times New Roman" w:hAnsi="Times New Roman"/>
      <w:sz w:val="20"/>
      <w:szCs w:val="20"/>
    </w:rPr>
  </w:style>
  <w:style w:type="paragraph" w:styleId="Tabladecontenidos0" w:customStyle="1">
    <w:name w:val="Tabla de contenidos"/>
    <w:basedOn w:val="Normal"/>
    <w:link w:val="Tabladecontenidos"/>
    <w:pPr>
      <w:shd w:color="auto" w:fill="ffffff" w:val="clear"/>
      <w:spacing w:line="250" w:lineRule="exact"/>
      <w:jc w:val="both"/>
    </w:pPr>
    <w:rPr>
      <w:rFonts w:ascii="Arial" w:cs="Arial" w:eastAsia="Arial" w:hAnsi="Arial"/>
      <w:sz w:val="21"/>
      <w:szCs w:val="21"/>
    </w:rPr>
  </w:style>
  <w:style w:type="paragraph" w:styleId="Cuerpodeltexto60" w:customStyle="1">
    <w:name w:val="Cuerpo del texto (6)"/>
    <w:basedOn w:val="Normal"/>
    <w:link w:val="Cuerpodeltexto6"/>
    <w:pPr>
      <w:shd w:color="auto" w:fill="ffffff" w:val="clear"/>
      <w:spacing w:line="250" w:lineRule="exact"/>
      <w:jc w:val="both"/>
    </w:pPr>
    <w:rPr>
      <w:rFonts w:ascii="Arial" w:cs="Arial" w:eastAsia="Arial" w:hAnsi="Arial"/>
      <w:sz w:val="21"/>
      <w:szCs w:val="21"/>
    </w:rPr>
  </w:style>
  <w:style w:type="paragraph" w:styleId="Leyendadelatabla50" w:customStyle="1">
    <w:name w:val="Leyenda de la tabla (5)"/>
    <w:basedOn w:val="Normal"/>
    <w:link w:val="Leyendadelatabla5"/>
    <w:pPr>
      <w:shd w:color="auto" w:fill="ffffff" w:val="clear"/>
      <w:spacing w:line="0" w:lineRule="atLeast"/>
    </w:pPr>
    <w:rPr>
      <w:rFonts w:ascii="Arial" w:cs="Arial" w:eastAsia="Arial" w:hAnsi="Arial"/>
      <w:b w:val="1"/>
      <w:bCs w:val="1"/>
      <w:sz w:val="23"/>
      <w:szCs w:val="23"/>
    </w:rPr>
  </w:style>
  <w:style w:type="paragraph" w:styleId="Leyendadelatabla0" w:customStyle="1">
    <w:name w:val="Leyenda de la tabla"/>
    <w:basedOn w:val="Normal"/>
    <w:link w:val="Leyendadelatabla"/>
    <w:pPr>
      <w:shd w:color="auto" w:fill="ffffff" w:val="clear"/>
      <w:spacing w:line="0" w:lineRule="atLeast"/>
    </w:pPr>
    <w:rPr>
      <w:rFonts w:ascii="Arial" w:cs="Arial" w:eastAsia="Arial" w:hAnsi="Arial"/>
      <w:sz w:val="19"/>
      <w:szCs w:val="19"/>
    </w:r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searchgate.net/publication/338670059_Un_modelo_para_armar_La_regulacion_de_la_capacidad_juridica_de_las_personas_con_discapacidad_en_el_Peru_a_partir_del_Decreto_Legislativo_1384"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QuattrocentoSans-regular.ttf"/><Relationship Id="rId2" Type="http://schemas.openxmlformats.org/officeDocument/2006/relationships/font" Target="fonts/QuattrocentoSans-bold.ttf"/><Relationship Id="rId3" Type="http://schemas.openxmlformats.org/officeDocument/2006/relationships/font" Target="fonts/QuattrocentoSans-italic.ttf"/><Relationship Id="rId4" Type="http://schemas.openxmlformats.org/officeDocument/2006/relationships/font" Target="fonts/QuattrocentoSans-boldItalic.ttf"/><Relationship Id="rId5" Type="http://schemas.openxmlformats.org/officeDocument/2006/relationships/font" Target="fonts/HelveticaNeue-regular.ttf"/><Relationship Id="rId6" Type="http://schemas.openxmlformats.org/officeDocument/2006/relationships/font" Target="fonts/HelveticaNeue-bold.ttf"/><Relationship Id="rId7" Type="http://schemas.openxmlformats.org/officeDocument/2006/relationships/font" Target="fonts/HelveticaNeue-italic.ttf"/><Relationship Id="rId8"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s5unjJqwEo7q3VGkhMzvwHGfgw==">CgMxLjAyDmguZjBkeXNkY2N5bm15MghoLmdqZGd4czgAciExb184T2ZHRzNodVZXS1VMZjczdkQ4N19INjNNMXhVQnc=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2024-05-17T20:53:00Z</dcterms:created>
</cp:coreProperties>
</file>